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592C8" w14:textId="77777777" w:rsidR="00956820" w:rsidRDefault="00956820">
      <w:pPr>
        <w:pStyle w:val="Title"/>
        <w:rPr>
          <w:rFonts w:ascii="Calibri" w:eastAsia="Calibri" w:hAnsi="Calibri" w:cs="Calibri"/>
          <w:sz w:val="18"/>
          <w:szCs w:val="18"/>
        </w:rPr>
      </w:pPr>
    </w:p>
    <w:p w14:paraId="33DCD408" w14:textId="578E1661" w:rsidR="00956820" w:rsidRDefault="00D74246" w:rsidP="00D74246">
      <w:pPr>
        <w:pStyle w:val="Title"/>
        <w:rPr>
          <w:rFonts w:ascii="Calibri" w:eastAsia="Calibri" w:hAnsi="Calibri" w:cs="Calibri"/>
          <w:smallCaps/>
        </w:rPr>
      </w:pPr>
      <w:r w:rsidRPr="00D74246">
        <w:rPr>
          <w:rFonts w:ascii="Calibri" w:eastAsia="Calibri" w:hAnsi="Calibri" w:cs="Calibri"/>
          <w:sz w:val="32"/>
          <w:szCs w:val="32"/>
        </w:rPr>
        <w:t>An Exploration on Host Communication Styles and Language Variations in the</w:t>
      </w:r>
      <w:r>
        <w:rPr>
          <w:rFonts w:ascii="Calibri" w:eastAsia="Calibri" w:hAnsi="Calibri" w:cs="Calibri"/>
          <w:sz w:val="32"/>
          <w:szCs w:val="32"/>
        </w:rPr>
        <w:t xml:space="preserve"> </w:t>
      </w:r>
      <w:r w:rsidRPr="00D74246">
        <w:rPr>
          <w:rFonts w:ascii="Calibri" w:eastAsia="Calibri" w:hAnsi="Calibri" w:cs="Calibri"/>
          <w:sz w:val="32"/>
          <w:szCs w:val="32"/>
        </w:rPr>
        <w:t xml:space="preserve">Context of TikTok Live-Streaming Commerce                          </w:t>
      </w:r>
    </w:p>
    <w:p w14:paraId="6DB3B1F1" w14:textId="77777777" w:rsidR="00956820" w:rsidRDefault="00956820">
      <w:pPr>
        <w:jc w:val="center"/>
        <w:rPr>
          <w:rFonts w:ascii="Calibri" w:eastAsia="Calibri" w:hAnsi="Calibri" w:cs="Calibri"/>
          <w:b/>
          <w:sz w:val="22"/>
          <w:szCs w:val="22"/>
        </w:rPr>
      </w:pPr>
    </w:p>
    <w:p w14:paraId="11594B62" w14:textId="29AD9C89" w:rsidR="00D74246" w:rsidRDefault="00D74246">
      <w:pPr>
        <w:jc w:val="center"/>
        <w:rPr>
          <w:rFonts w:ascii="Calibri" w:eastAsia="Calibri" w:hAnsi="Calibri" w:cs="Calibri"/>
          <w:b/>
          <w:sz w:val="22"/>
          <w:szCs w:val="22"/>
        </w:rPr>
      </w:pPr>
      <w:r w:rsidRPr="00D74246">
        <w:rPr>
          <w:rFonts w:ascii="Calibri" w:eastAsia="Calibri" w:hAnsi="Calibri" w:cs="Calibri"/>
          <w:b/>
          <w:sz w:val="22"/>
          <w:szCs w:val="22"/>
        </w:rPr>
        <w:t>Muhamad Husni Mubarok</w:t>
      </w:r>
      <w:r w:rsidRPr="00D74246">
        <w:rPr>
          <w:rFonts w:ascii="Calibri" w:eastAsia="Calibri" w:hAnsi="Calibri" w:cs="Calibri"/>
          <w:b/>
          <w:sz w:val="22"/>
          <w:szCs w:val="22"/>
          <w:vertAlign w:val="superscript"/>
        </w:rPr>
        <w:t>1</w:t>
      </w:r>
      <w:r w:rsidRPr="00D74246">
        <w:rPr>
          <w:rFonts w:ascii="Calibri" w:eastAsia="Calibri" w:hAnsi="Calibri" w:cs="Calibri"/>
          <w:b/>
          <w:sz w:val="22"/>
          <w:szCs w:val="22"/>
        </w:rPr>
        <w:t>*, Metha Madona</w:t>
      </w:r>
      <w:r w:rsidRPr="00D74246">
        <w:rPr>
          <w:rFonts w:ascii="Calibri" w:eastAsia="Calibri" w:hAnsi="Calibri" w:cs="Calibri"/>
          <w:b/>
          <w:sz w:val="22"/>
          <w:szCs w:val="22"/>
          <w:vertAlign w:val="superscript"/>
        </w:rPr>
        <w:t>2</w:t>
      </w:r>
      <w:r w:rsidRPr="00D74246">
        <w:rPr>
          <w:rFonts w:ascii="Calibri" w:eastAsia="Calibri" w:hAnsi="Calibri" w:cs="Calibri"/>
          <w:b/>
          <w:sz w:val="22"/>
          <w:szCs w:val="22"/>
        </w:rPr>
        <w:t>, Fikri Reza</w:t>
      </w:r>
      <w:r w:rsidRPr="00D74246">
        <w:rPr>
          <w:rFonts w:ascii="Calibri" w:eastAsia="Calibri" w:hAnsi="Calibri" w:cs="Calibri"/>
          <w:b/>
          <w:sz w:val="22"/>
          <w:szCs w:val="22"/>
          <w:vertAlign w:val="superscript"/>
        </w:rPr>
        <w:t>3</w:t>
      </w:r>
      <w:r w:rsidRPr="00D74246">
        <w:rPr>
          <w:rFonts w:ascii="Calibri" w:eastAsia="Calibri" w:hAnsi="Calibri" w:cs="Calibri"/>
          <w:b/>
          <w:sz w:val="22"/>
          <w:szCs w:val="22"/>
        </w:rPr>
        <w:t xml:space="preserve"> </w:t>
      </w:r>
    </w:p>
    <w:p w14:paraId="1EBC5AC3" w14:textId="0C32BBBF" w:rsidR="00956820" w:rsidRDefault="0012128B">
      <w:pPr>
        <w:jc w:val="center"/>
        <w:rPr>
          <w:rFonts w:ascii="Calibri" w:eastAsia="Calibri" w:hAnsi="Calibri" w:cs="Calibri"/>
          <w:sz w:val="24"/>
          <w:szCs w:val="24"/>
        </w:rPr>
      </w:pPr>
      <w:r>
        <w:rPr>
          <w:rFonts w:ascii="Calibri" w:eastAsia="Calibri" w:hAnsi="Calibri" w:cs="Calibri"/>
          <w:sz w:val="22"/>
          <w:szCs w:val="22"/>
        </w:rPr>
        <w:t>(The maximum number of authors is five) (Calibri body 11pt)</w:t>
      </w:r>
    </w:p>
    <w:p w14:paraId="3AF2B206" w14:textId="77777777" w:rsidR="00956820" w:rsidRDefault="00956820">
      <w:pPr>
        <w:jc w:val="center"/>
        <w:rPr>
          <w:rFonts w:ascii="Calibri" w:eastAsia="Calibri" w:hAnsi="Calibri" w:cs="Calibri"/>
          <w:sz w:val="22"/>
          <w:szCs w:val="22"/>
        </w:rPr>
      </w:pPr>
    </w:p>
    <w:p w14:paraId="31B345B8" w14:textId="77777777" w:rsidR="00D74246" w:rsidRPr="00D74246" w:rsidRDefault="00D74246" w:rsidP="00D74246">
      <w:pPr>
        <w:numPr>
          <w:ilvl w:val="0"/>
          <w:numId w:val="1"/>
        </w:numPr>
        <w:spacing w:after="5" w:line="259" w:lineRule="auto"/>
        <w:ind w:right="6" w:hanging="101"/>
        <w:jc w:val="center"/>
        <w:rPr>
          <w:rFonts w:ascii="Calibri" w:eastAsia="Calibri" w:hAnsi="Calibri" w:cs="Calibri"/>
          <w:color w:val="000000"/>
          <w:sz w:val="28"/>
          <w:szCs w:val="24"/>
          <w:lang w:val="en-ID"/>
        </w:rPr>
      </w:pPr>
      <w:r w:rsidRPr="00D74246">
        <w:rPr>
          <w:rFonts w:ascii="Calibri" w:eastAsia="Calibri" w:hAnsi="Calibri" w:cs="Calibri"/>
          <w:color w:val="000000"/>
          <w:szCs w:val="24"/>
          <w:lang w:val="en-ID"/>
        </w:rPr>
        <w:t xml:space="preserve">Muhamad Husni Mubarok, Universitas Bhayangkara Jakarta Raya, Indonesia </w:t>
      </w:r>
    </w:p>
    <w:p w14:paraId="458678BD" w14:textId="77777777" w:rsidR="00D74246" w:rsidRPr="00D74246" w:rsidRDefault="00D74246" w:rsidP="00D74246">
      <w:pPr>
        <w:numPr>
          <w:ilvl w:val="0"/>
          <w:numId w:val="1"/>
        </w:numPr>
        <w:spacing w:after="5" w:line="259" w:lineRule="auto"/>
        <w:ind w:right="6" w:hanging="101"/>
        <w:jc w:val="center"/>
        <w:rPr>
          <w:rFonts w:ascii="Calibri" w:eastAsia="Calibri" w:hAnsi="Calibri" w:cs="Calibri"/>
          <w:color w:val="000000"/>
          <w:sz w:val="28"/>
          <w:szCs w:val="24"/>
          <w:lang w:val="en-ID"/>
        </w:rPr>
      </w:pPr>
      <w:r w:rsidRPr="00D74246">
        <w:rPr>
          <w:rFonts w:ascii="Calibri" w:eastAsia="Calibri" w:hAnsi="Calibri" w:cs="Calibri"/>
          <w:color w:val="000000"/>
          <w:szCs w:val="24"/>
          <w:lang w:val="en-ID"/>
        </w:rPr>
        <w:t xml:space="preserve">Metha Madona, Universitas Bhayangkara Jakarta Raya, Indonesia  </w:t>
      </w:r>
    </w:p>
    <w:p w14:paraId="52D2BCC8" w14:textId="77777777" w:rsidR="00D74246" w:rsidRPr="00D74246" w:rsidRDefault="00D74246" w:rsidP="00D74246">
      <w:pPr>
        <w:numPr>
          <w:ilvl w:val="0"/>
          <w:numId w:val="1"/>
        </w:numPr>
        <w:spacing w:after="5" w:line="259" w:lineRule="auto"/>
        <w:ind w:right="6" w:hanging="101"/>
        <w:jc w:val="center"/>
        <w:rPr>
          <w:rFonts w:ascii="Calibri" w:eastAsia="Calibri" w:hAnsi="Calibri" w:cs="Calibri"/>
          <w:color w:val="000000"/>
          <w:sz w:val="28"/>
          <w:szCs w:val="24"/>
          <w:lang w:val="en-ID"/>
        </w:rPr>
      </w:pPr>
      <w:r w:rsidRPr="00D74246">
        <w:rPr>
          <w:rFonts w:ascii="Calibri" w:eastAsia="Calibri" w:hAnsi="Calibri" w:cs="Calibri"/>
          <w:color w:val="000000"/>
          <w:szCs w:val="24"/>
          <w:lang w:val="en-ID"/>
        </w:rPr>
        <w:t xml:space="preserve">Fikri Reza, Universitas Bhayangkara Jakarta Raya, Indonesia  </w:t>
      </w:r>
    </w:p>
    <w:p w14:paraId="34C30083" w14:textId="0A661703" w:rsidR="00956820" w:rsidRDefault="0012128B">
      <w:pPr>
        <w:jc w:val="center"/>
        <w:rPr>
          <w:rFonts w:ascii="Calibri" w:eastAsia="Calibri" w:hAnsi="Calibri" w:cs="Calibri"/>
          <w:sz w:val="18"/>
          <w:szCs w:val="18"/>
        </w:rPr>
      </w:pPr>
      <w:r>
        <w:rPr>
          <w:rFonts w:ascii="Calibri" w:eastAsia="Calibri" w:hAnsi="Calibri" w:cs="Calibri"/>
        </w:rPr>
        <w:t>*</w:t>
      </w:r>
      <w:r>
        <w:rPr>
          <w:rFonts w:ascii="Calibri" w:eastAsia="Calibri" w:hAnsi="Calibri" w:cs="Calibri"/>
        </w:rPr>
        <w:t>first author's e-mail/cor</w:t>
      </w:r>
      <w:r>
        <w:rPr>
          <w:rFonts w:ascii="Calibri" w:eastAsia="Calibri" w:hAnsi="Calibri" w:cs="Calibri"/>
        </w:rPr>
        <w:t xml:space="preserve">respondence: </w:t>
      </w:r>
      <w:r w:rsidR="00D74246" w:rsidRPr="00D74246">
        <w:rPr>
          <w:rFonts w:ascii="Calibri" w:eastAsia="Calibri" w:hAnsi="Calibri" w:cs="Calibri"/>
        </w:rPr>
        <w:t>muhamad.husni.mubarok@dsn.ubharajaya.ac.id</w:t>
      </w:r>
    </w:p>
    <w:p w14:paraId="37F767E0" w14:textId="77777777" w:rsidR="00956820" w:rsidRDefault="00956820">
      <w:pPr>
        <w:jc w:val="center"/>
        <w:rPr>
          <w:rFonts w:ascii="Calibri" w:eastAsia="Calibri" w:hAnsi="Calibri" w:cs="Calibri"/>
          <w:sz w:val="24"/>
          <w:szCs w:val="24"/>
        </w:rPr>
      </w:pPr>
    </w:p>
    <w:p w14:paraId="2958BE63" w14:textId="77777777" w:rsidR="00956820" w:rsidRDefault="00956820">
      <w:pPr>
        <w:rPr>
          <w:rFonts w:ascii="Calibri" w:eastAsia="Calibri" w:hAnsi="Calibri" w:cs="Calibri"/>
          <w:b/>
          <w:color w:val="000000"/>
          <w:sz w:val="22"/>
          <w:szCs w:val="22"/>
        </w:rPr>
      </w:pPr>
    </w:p>
    <w:tbl>
      <w:tblPr>
        <w:tblStyle w:val="a2"/>
        <w:tblW w:w="8783" w:type="dxa"/>
        <w:tblBorders>
          <w:top w:val="nil"/>
          <w:left w:val="nil"/>
          <w:bottom w:val="nil"/>
          <w:right w:val="nil"/>
          <w:insideH w:val="nil"/>
          <w:insideV w:val="nil"/>
        </w:tblBorders>
        <w:tblLayout w:type="fixed"/>
        <w:tblLook w:val="0400" w:firstRow="0" w:lastRow="0" w:firstColumn="0" w:lastColumn="0" w:noHBand="0" w:noVBand="1"/>
      </w:tblPr>
      <w:tblGrid>
        <w:gridCol w:w="2552"/>
        <w:gridCol w:w="6231"/>
      </w:tblGrid>
      <w:tr w:rsidR="00956820" w14:paraId="5958BF5F" w14:textId="77777777">
        <w:tc>
          <w:tcPr>
            <w:tcW w:w="2552" w:type="dxa"/>
          </w:tcPr>
          <w:p w14:paraId="4C8CB6C7" w14:textId="77777777" w:rsidR="00956820" w:rsidRDefault="0012128B">
            <w:pPr>
              <w:rPr>
                <w:rFonts w:ascii="Calibri" w:eastAsia="Calibri" w:hAnsi="Calibri" w:cs="Calibri"/>
                <w:b/>
                <w:color w:val="000000"/>
                <w:sz w:val="18"/>
                <w:szCs w:val="18"/>
              </w:rPr>
            </w:pPr>
            <w:r>
              <w:rPr>
                <w:rFonts w:ascii="Calibri" w:eastAsia="Calibri" w:hAnsi="Calibri" w:cs="Calibri"/>
                <w:b/>
                <w:color w:val="000000"/>
                <w:sz w:val="18"/>
                <w:szCs w:val="18"/>
              </w:rPr>
              <w:t>Article</w:t>
            </w:r>
          </w:p>
          <w:p w14:paraId="4D4CCFD3" w14:textId="77777777" w:rsidR="00956820" w:rsidRDefault="0012128B">
            <w:pPr>
              <w:rPr>
                <w:rFonts w:ascii="Calibri" w:eastAsia="Calibri" w:hAnsi="Calibri" w:cs="Calibri"/>
                <w:color w:val="000000"/>
                <w:sz w:val="16"/>
                <w:szCs w:val="16"/>
              </w:rPr>
            </w:pPr>
            <w:r>
              <w:rPr>
                <w:rFonts w:ascii="Calibri" w:eastAsia="Calibri" w:hAnsi="Calibri" w:cs="Calibri"/>
                <w:color w:val="000000"/>
                <w:sz w:val="16"/>
                <w:szCs w:val="16"/>
              </w:rPr>
              <w:t xml:space="preserve">Submitted: xx-xx-20xx </w:t>
            </w:r>
          </w:p>
          <w:p w14:paraId="16CDC233" w14:textId="77777777" w:rsidR="00956820" w:rsidRDefault="0012128B">
            <w:pPr>
              <w:rPr>
                <w:rFonts w:ascii="Calibri" w:eastAsia="Calibri" w:hAnsi="Calibri" w:cs="Calibri"/>
                <w:color w:val="000000"/>
                <w:sz w:val="16"/>
                <w:szCs w:val="16"/>
              </w:rPr>
            </w:pPr>
            <w:r>
              <w:rPr>
                <w:rFonts w:ascii="Calibri" w:eastAsia="Calibri" w:hAnsi="Calibri" w:cs="Calibri"/>
                <w:color w:val="000000"/>
                <w:sz w:val="16"/>
                <w:szCs w:val="16"/>
              </w:rPr>
              <w:t xml:space="preserve">Reviewed: xx-xx-20xx </w:t>
            </w:r>
          </w:p>
          <w:p w14:paraId="6E9FCB42" w14:textId="77777777" w:rsidR="00956820" w:rsidRDefault="0012128B">
            <w:pPr>
              <w:rPr>
                <w:rFonts w:ascii="Calibri" w:eastAsia="Calibri" w:hAnsi="Calibri" w:cs="Calibri"/>
                <w:color w:val="000000"/>
                <w:sz w:val="16"/>
                <w:szCs w:val="16"/>
              </w:rPr>
            </w:pPr>
            <w:r>
              <w:rPr>
                <w:rFonts w:ascii="Calibri" w:eastAsia="Calibri" w:hAnsi="Calibri" w:cs="Calibri"/>
                <w:color w:val="000000"/>
                <w:sz w:val="16"/>
                <w:szCs w:val="16"/>
              </w:rPr>
              <w:t>Accepted: xx-xx- 20xx</w:t>
            </w:r>
          </w:p>
          <w:p w14:paraId="03458DAE" w14:textId="77777777" w:rsidR="00956820" w:rsidRDefault="0012128B">
            <w:pPr>
              <w:rPr>
                <w:rFonts w:ascii="Calibri" w:eastAsia="Calibri" w:hAnsi="Calibri" w:cs="Calibri"/>
                <w:color w:val="000000"/>
                <w:sz w:val="18"/>
                <w:szCs w:val="18"/>
              </w:rPr>
            </w:pPr>
            <w:r>
              <w:rPr>
                <w:rFonts w:ascii="Calibri" w:eastAsia="Calibri" w:hAnsi="Calibri" w:cs="Calibri"/>
                <w:color w:val="000000"/>
                <w:sz w:val="16"/>
                <w:szCs w:val="16"/>
              </w:rPr>
              <w:t>Published: xx-xx-20xx</w:t>
            </w:r>
          </w:p>
          <w:p w14:paraId="1E58F280" w14:textId="77777777" w:rsidR="00956820" w:rsidRDefault="00956820">
            <w:pPr>
              <w:rPr>
                <w:rFonts w:ascii="Calibri" w:eastAsia="Calibri" w:hAnsi="Calibri" w:cs="Calibri"/>
                <w:b/>
                <w:color w:val="000000"/>
                <w:sz w:val="18"/>
                <w:szCs w:val="18"/>
              </w:rPr>
            </w:pPr>
          </w:p>
          <w:p w14:paraId="555BEB5F" w14:textId="77777777" w:rsidR="00956820" w:rsidRDefault="0012128B">
            <w:pPr>
              <w:rPr>
                <w:rFonts w:ascii="Calibri" w:eastAsia="Calibri" w:hAnsi="Calibri" w:cs="Calibri"/>
                <w:color w:val="000000"/>
                <w:sz w:val="16"/>
                <w:szCs w:val="16"/>
              </w:rPr>
            </w:pPr>
            <w:r>
              <w:rPr>
                <w:rFonts w:ascii="Calibri" w:eastAsia="Calibri" w:hAnsi="Calibri" w:cs="Calibri"/>
                <w:b/>
                <w:color w:val="000000"/>
                <w:sz w:val="16"/>
                <w:szCs w:val="16"/>
              </w:rPr>
              <w:t>DOI:</w:t>
            </w:r>
            <w:r>
              <w:rPr>
                <w:rFonts w:ascii="Calibri" w:eastAsia="Calibri" w:hAnsi="Calibri" w:cs="Calibri"/>
                <w:color w:val="000000"/>
                <w:sz w:val="16"/>
                <w:szCs w:val="16"/>
              </w:rPr>
              <w:t xml:space="preserve"> </w:t>
            </w:r>
          </w:p>
          <w:p w14:paraId="4261884F" w14:textId="77777777" w:rsidR="00956820" w:rsidRDefault="0012128B">
            <w:pPr>
              <w:rPr>
                <w:rFonts w:ascii="Calibri" w:eastAsia="Calibri" w:hAnsi="Calibri" w:cs="Calibri"/>
                <w:color w:val="000000"/>
                <w:sz w:val="16"/>
                <w:szCs w:val="16"/>
              </w:rPr>
            </w:pPr>
            <w:r>
              <w:rPr>
                <w:rFonts w:ascii="Calibri" w:eastAsia="Calibri" w:hAnsi="Calibri" w:cs="Calibri"/>
                <w:color w:val="000000"/>
                <w:sz w:val="16"/>
                <w:szCs w:val="16"/>
              </w:rPr>
              <w:t>https://doi.org/10.32509/</w:t>
            </w:r>
          </w:p>
          <w:p w14:paraId="32B70EA6" w14:textId="77777777" w:rsidR="00956820" w:rsidRDefault="00956820">
            <w:pPr>
              <w:rPr>
                <w:rFonts w:ascii="Calibri" w:eastAsia="Calibri" w:hAnsi="Calibri" w:cs="Calibri"/>
                <w:b/>
                <w:color w:val="000000"/>
                <w:sz w:val="18"/>
                <w:szCs w:val="18"/>
              </w:rPr>
            </w:pPr>
          </w:p>
          <w:p w14:paraId="33B9C8E0" w14:textId="77777777" w:rsidR="00956820" w:rsidRDefault="0012128B">
            <w:pPr>
              <w:rPr>
                <w:rFonts w:ascii="Calibri" w:eastAsia="Calibri" w:hAnsi="Calibri" w:cs="Calibri"/>
                <w:color w:val="000000"/>
                <w:sz w:val="18"/>
                <w:szCs w:val="18"/>
              </w:rPr>
            </w:pPr>
            <w:r>
              <w:rPr>
                <w:noProof/>
              </w:rPr>
              <w:drawing>
                <wp:inline distT="0" distB="0" distL="0" distR="0" wp14:anchorId="7ECFF654" wp14:editId="0B29F9AB">
                  <wp:extent cx="662865" cy="232354"/>
                  <wp:effectExtent l="0" t="0" r="0" b="0"/>
                  <wp:docPr id="10"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9"/>
                          <a:srcRect/>
                          <a:stretch>
                            <a:fillRect/>
                          </a:stretch>
                        </pic:blipFill>
                        <pic:spPr>
                          <a:xfrm>
                            <a:off x="0" y="0"/>
                            <a:ext cx="662865" cy="232354"/>
                          </a:xfrm>
                          <a:prstGeom prst="rect">
                            <a:avLst/>
                          </a:prstGeom>
                          <a:ln/>
                        </pic:spPr>
                      </pic:pic>
                    </a:graphicData>
                  </a:graphic>
                </wp:inline>
              </w:drawing>
            </w:r>
          </w:p>
          <w:p w14:paraId="795C19A8" w14:textId="77777777" w:rsidR="00956820" w:rsidRDefault="0012128B">
            <w:pPr>
              <w:rPr>
                <w:rFonts w:ascii="Calibri" w:eastAsia="Calibri" w:hAnsi="Calibri" w:cs="Calibri"/>
                <w:color w:val="000000"/>
                <w:sz w:val="16"/>
                <w:szCs w:val="16"/>
              </w:rPr>
            </w:pPr>
            <w:r>
              <w:rPr>
                <w:rFonts w:ascii="Calibri" w:eastAsia="Calibri" w:hAnsi="Calibri" w:cs="Calibri"/>
                <w:color w:val="000000"/>
                <w:sz w:val="16"/>
                <w:szCs w:val="16"/>
              </w:rPr>
              <w:t>This work is licensed under a Creative Commons Attribution-NonCommercial-ShareAlike 4.0.</w:t>
            </w:r>
          </w:p>
          <w:p w14:paraId="5D512B87" w14:textId="77777777" w:rsidR="00956820" w:rsidRDefault="00956820">
            <w:pPr>
              <w:rPr>
                <w:rFonts w:ascii="Calibri" w:eastAsia="Calibri" w:hAnsi="Calibri" w:cs="Calibri"/>
                <w:color w:val="000000"/>
                <w:sz w:val="18"/>
                <w:szCs w:val="18"/>
              </w:rPr>
            </w:pPr>
          </w:p>
          <w:p w14:paraId="0DFFD0A8" w14:textId="77777777" w:rsidR="00956820" w:rsidRDefault="0012128B">
            <w:pPr>
              <w:rPr>
                <w:rFonts w:ascii="Calibri" w:eastAsia="Calibri" w:hAnsi="Calibri" w:cs="Calibri"/>
                <w:color w:val="000000"/>
                <w:sz w:val="16"/>
                <w:szCs w:val="16"/>
              </w:rPr>
            </w:pPr>
            <w:r>
              <w:rPr>
                <w:rFonts w:ascii="Calibri" w:eastAsia="Calibri" w:hAnsi="Calibri" w:cs="Calibri"/>
                <w:color w:val="000000"/>
                <w:sz w:val="16"/>
                <w:szCs w:val="16"/>
              </w:rPr>
              <w:t>Volume</w:t>
            </w:r>
            <w:r>
              <w:rPr>
                <w:rFonts w:ascii="Calibri" w:eastAsia="Calibri" w:hAnsi="Calibri" w:cs="Calibri"/>
                <w:color w:val="000000"/>
                <w:sz w:val="16"/>
                <w:szCs w:val="16"/>
              </w:rPr>
              <w:tab/>
              <w:t>:</w:t>
            </w:r>
          </w:p>
          <w:p w14:paraId="29F4851D" w14:textId="77777777" w:rsidR="00956820" w:rsidRDefault="0012128B">
            <w:pPr>
              <w:rPr>
                <w:rFonts w:ascii="Calibri" w:eastAsia="Calibri" w:hAnsi="Calibri" w:cs="Calibri"/>
                <w:color w:val="000000"/>
                <w:sz w:val="16"/>
                <w:szCs w:val="16"/>
              </w:rPr>
            </w:pPr>
            <w:r>
              <w:rPr>
                <w:rFonts w:ascii="Calibri" w:eastAsia="Calibri" w:hAnsi="Calibri" w:cs="Calibri"/>
                <w:color w:val="000000"/>
                <w:sz w:val="16"/>
                <w:szCs w:val="16"/>
              </w:rPr>
              <w:t>No.</w:t>
            </w:r>
            <w:r>
              <w:rPr>
                <w:rFonts w:ascii="Calibri" w:eastAsia="Calibri" w:hAnsi="Calibri" w:cs="Calibri"/>
                <w:color w:val="000000"/>
                <w:sz w:val="16"/>
                <w:szCs w:val="16"/>
              </w:rPr>
              <w:tab/>
              <w:t>:</w:t>
            </w:r>
          </w:p>
          <w:p w14:paraId="24A37956" w14:textId="77777777" w:rsidR="00956820" w:rsidRDefault="0012128B">
            <w:pPr>
              <w:rPr>
                <w:rFonts w:ascii="Calibri" w:eastAsia="Calibri" w:hAnsi="Calibri" w:cs="Calibri"/>
                <w:color w:val="000000"/>
                <w:sz w:val="16"/>
                <w:szCs w:val="16"/>
              </w:rPr>
            </w:pPr>
            <w:r>
              <w:rPr>
                <w:rFonts w:ascii="Calibri" w:eastAsia="Calibri" w:hAnsi="Calibri" w:cs="Calibri"/>
                <w:color w:val="000000"/>
                <w:sz w:val="16"/>
                <w:szCs w:val="16"/>
              </w:rPr>
              <w:t>Month</w:t>
            </w:r>
            <w:r>
              <w:rPr>
                <w:rFonts w:ascii="Calibri" w:eastAsia="Calibri" w:hAnsi="Calibri" w:cs="Calibri"/>
                <w:color w:val="000000"/>
                <w:sz w:val="16"/>
                <w:szCs w:val="16"/>
              </w:rPr>
              <w:tab/>
              <w:t>:</w:t>
            </w:r>
          </w:p>
          <w:p w14:paraId="2E729CE1" w14:textId="77777777" w:rsidR="00956820" w:rsidRDefault="0012128B">
            <w:pPr>
              <w:rPr>
                <w:rFonts w:ascii="Calibri" w:eastAsia="Calibri" w:hAnsi="Calibri" w:cs="Calibri"/>
                <w:color w:val="000000"/>
                <w:sz w:val="16"/>
                <w:szCs w:val="16"/>
              </w:rPr>
            </w:pPr>
            <w:r>
              <w:rPr>
                <w:rFonts w:ascii="Calibri" w:eastAsia="Calibri" w:hAnsi="Calibri" w:cs="Calibri"/>
                <w:color w:val="000000"/>
                <w:sz w:val="16"/>
                <w:szCs w:val="16"/>
              </w:rPr>
              <w:t>Year</w:t>
            </w:r>
            <w:r>
              <w:rPr>
                <w:rFonts w:ascii="Calibri" w:eastAsia="Calibri" w:hAnsi="Calibri" w:cs="Calibri"/>
                <w:color w:val="000000"/>
                <w:sz w:val="16"/>
                <w:szCs w:val="16"/>
              </w:rPr>
              <w:tab/>
              <w:t>:</w:t>
            </w:r>
          </w:p>
          <w:p w14:paraId="7DF925E6" w14:textId="77777777" w:rsidR="00956820" w:rsidRDefault="0012128B">
            <w:pPr>
              <w:rPr>
                <w:rFonts w:ascii="Calibri" w:eastAsia="Calibri" w:hAnsi="Calibri" w:cs="Calibri"/>
                <w:color w:val="000000"/>
                <w:sz w:val="16"/>
                <w:szCs w:val="16"/>
              </w:rPr>
            </w:pPr>
            <w:r>
              <w:rPr>
                <w:rFonts w:ascii="Calibri" w:eastAsia="Calibri" w:hAnsi="Calibri" w:cs="Calibri"/>
                <w:color w:val="000000"/>
                <w:sz w:val="16"/>
                <w:szCs w:val="16"/>
              </w:rPr>
              <w:t>Page</w:t>
            </w:r>
            <w:r>
              <w:rPr>
                <w:rFonts w:ascii="Calibri" w:eastAsia="Calibri" w:hAnsi="Calibri" w:cs="Calibri"/>
                <w:color w:val="000000"/>
                <w:sz w:val="16"/>
                <w:szCs w:val="16"/>
              </w:rPr>
              <w:tab/>
              <w:t>:</w:t>
            </w:r>
          </w:p>
          <w:p w14:paraId="5A2FD14E" w14:textId="77777777" w:rsidR="00956820" w:rsidRDefault="00956820">
            <w:pPr>
              <w:rPr>
                <w:rFonts w:ascii="Calibri" w:eastAsia="Calibri" w:hAnsi="Calibri" w:cs="Calibri"/>
                <w:color w:val="000000"/>
                <w:sz w:val="18"/>
                <w:szCs w:val="18"/>
              </w:rPr>
            </w:pPr>
          </w:p>
        </w:tc>
        <w:tc>
          <w:tcPr>
            <w:tcW w:w="6231" w:type="dxa"/>
          </w:tcPr>
          <w:p w14:paraId="777D74C6" w14:textId="42B22416" w:rsidR="00956820" w:rsidRDefault="0012128B">
            <w:pPr>
              <w:rPr>
                <w:rFonts w:ascii="Calibri" w:eastAsia="Calibri" w:hAnsi="Calibri" w:cs="Calibri"/>
                <w:color w:val="000000"/>
                <w:sz w:val="18"/>
                <w:szCs w:val="18"/>
              </w:rPr>
            </w:pPr>
            <w:r>
              <w:rPr>
                <w:rFonts w:ascii="Calibri" w:eastAsia="Calibri" w:hAnsi="Calibri" w:cs="Calibri"/>
                <w:b/>
                <w:color w:val="000000"/>
                <w:sz w:val="18"/>
                <w:szCs w:val="18"/>
              </w:rPr>
              <w:t xml:space="preserve">Abstract </w:t>
            </w:r>
          </w:p>
          <w:p w14:paraId="659EFF2C" w14:textId="22FC95B3" w:rsidR="00D74246" w:rsidRDefault="00D74246" w:rsidP="00D74246">
            <w:pPr>
              <w:jc w:val="both"/>
              <w:rPr>
                <w:rFonts w:ascii="Calibri" w:eastAsia="Calibri" w:hAnsi="Calibri" w:cs="Calibri"/>
                <w:color w:val="000000"/>
                <w:sz w:val="18"/>
                <w:szCs w:val="18"/>
              </w:rPr>
            </w:pPr>
            <w:r w:rsidRPr="00D74246">
              <w:rPr>
                <w:rFonts w:ascii="Calibri" w:eastAsia="Calibri" w:hAnsi="Calibri" w:cs="Calibri"/>
                <w:color w:val="000000"/>
                <w:sz w:val="18"/>
                <w:szCs w:val="18"/>
              </w:rPr>
              <w:t xml:space="preserve">The emergence of live-streaming commerce has become a new experience for people in direct buying and selling activities. Although TikTok Shop was officially closed on October 4th, this practice still </w:t>
            </w:r>
            <w:r w:rsidRPr="00D74246">
              <w:rPr>
                <w:rFonts w:ascii="Calibri" w:eastAsia="Calibri" w:hAnsi="Calibri" w:cs="Calibri"/>
                <w:color w:val="000000"/>
                <w:sz w:val="18"/>
                <w:szCs w:val="18"/>
              </w:rPr>
              <w:t>continues</w:t>
            </w:r>
            <w:r w:rsidRPr="00D74246">
              <w:rPr>
                <w:rFonts w:ascii="Calibri" w:eastAsia="Calibri" w:hAnsi="Calibri" w:cs="Calibri"/>
                <w:color w:val="000000"/>
                <w:sz w:val="18"/>
                <w:szCs w:val="18"/>
              </w:rPr>
              <w:t xml:space="preserve">. One of the characteristics of live-streaming commerce is the presence of the host. The host plays an important role as it serves as an intermediary between sellers and buyers. This research seeks to explore the communication styles and language variations employed by hosts during live-streaming commerce. The research uses a qualitative approach using content analysis methods. The study conducted digital observations on four TikTok Shop accounts that engage in regular live-streaming operations. While interviews are employed as a secondary data. The results show that the communication style that is widely used is a task-oriented style with emotive behavioral traits. The task-oriented style can be observed through factors such as speaking speed and voice loudness, whilst the emotive </w:t>
            </w:r>
            <w:r w:rsidRPr="00D74246">
              <w:rPr>
                <w:rFonts w:ascii="Calibri" w:eastAsia="Calibri" w:hAnsi="Calibri" w:cs="Calibri"/>
                <w:color w:val="000000"/>
                <w:sz w:val="18"/>
                <w:szCs w:val="18"/>
              </w:rPr>
              <w:t>behaviors</w:t>
            </w:r>
            <w:r w:rsidRPr="00D74246">
              <w:rPr>
                <w:rFonts w:ascii="Calibri" w:eastAsia="Calibri" w:hAnsi="Calibri" w:cs="Calibri"/>
                <w:color w:val="000000"/>
                <w:sz w:val="18"/>
                <w:szCs w:val="18"/>
              </w:rPr>
              <w:t xml:space="preserve"> can be observed through frequent greetings and responsive interactions with consumer inquiries. The existence of language variants characterized by informal usage in the form of casual languages, which are influenced by the linguistic preferences of the speaker. One such variation is sociolect, which is primarily determined by the age of the speaker. It would be advantageous for the hosts to develop an </w:t>
            </w:r>
            <w:r w:rsidRPr="00D74246">
              <w:rPr>
                <w:rFonts w:ascii="Calibri" w:eastAsia="Calibri" w:hAnsi="Calibri" w:cs="Calibri"/>
                <w:color w:val="000000"/>
                <w:sz w:val="18"/>
                <w:szCs w:val="18"/>
              </w:rPr>
              <w:t>idiolect</w:t>
            </w:r>
            <w:r w:rsidRPr="00D74246">
              <w:rPr>
                <w:rFonts w:ascii="Calibri" w:eastAsia="Calibri" w:hAnsi="Calibri" w:cs="Calibri"/>
                <w:color w:val="000000"/>
                <w:sz w:val="18"/>
                <w:szCs w:val="18"/>
              </w:rPr>
              <w:t xml:space="preserve"> by creating certain characteristics of words or sentences, establishing a differentiation between themselves and other. These results show that live-streaming has emerged as a distinct shopping environment with a new culture where hosts are required to be able to explain the details products quickly and comprehensively. One aspect to consider is the host must be able to establish good communication with buyers in facilitating a reciprocal exchange of information</w:t>
            </w:r>
            <w:r>
              <w:rPr>
                <w:rFonts w:ascii="Calibri" w:eastAsia="Calibri" w:hAnsi="Calibri" w:cs="Calibri"/>
                <w:color w:val="000000"/>
                <w:sz w:val="18"/>
                <w:szCs w:val="18"/>
              </w:rPr>
              <w:t>.</w:t>
            </w:r>
            <w:r w:rsidRPr="00D74246">
              <w:rPr>
                <w:rFonts w:ascii="Calibri" w:eastAsia="Calibri" w:hAnsi="Calibri" w:cs="Calibri"/>
                <w:color w:val="000000"/>
                <w:sz w:val="18"/>
                <w:szCs w:val="18"/>
              </w:rPr>
              <w:t xml:space="preserve"> </w:t>
            </w:r>
          </w:p>
          <w:p w14:paraId="1D4E70BC" w14:textId="11B7DC6B" w:rsidR="00956820" w:rsidRDefault="0012128B">
            <w:pPr>
              <w:rPr>
                <w:rFonts w:ascii="Calibri" w:eastAsia="Calibri" w:hAnsi="Calibri" w:cs="Calibri"/>
                <w:b/>
                <w:sz w:val="18"/>
                <w:szCs w:val="18"/>
              </w:rPr>
            </w:pPr>
            <w:r>
              <w:rPr>
                <w:rFonts w:ascii="Calibri" w:eastAsia="Calibri" w:hAnsi="Calibri" w:cs="Calibri"/>
                <w:b/>
                <w:color w:val="000000"/>
                <w:sz w:val="18"/>
                <w:szCs w:val="18"/>
              </w:rPr>
              <w:t>Keywords</w:t>
            </w:r>
            <w:r>
              <w:rPr>
                <w:rFonts w:ascii="Calibri" w:eastAsia="Calibri" w:hAnsi="Calibri" w:cs="Calibri"/>
                <w:color w:val="000000"/>
                <w:sz w:val="18"/>
                <w:szCs w:val="18"/>
              </w:rPr>
              <w:t xml:space="preserve">: </w:t>
            </w:r>
            <w:r w:rsidR="00851D00" w:rsidRPr="00851D00">
              <w:rPr>
                <w:rFonts w:ascii="Calibri" w:eastAsia="Calibri" w:hAnsi="Calibri" w:cs="Calibri"/>
                <w:i/>
                <w:iCs/>
                <w:color w:val="000000"/>
                <w:sz w:val="18"/>
                <w:szCs w:val="18"/>
              </w:rPr>
              <w:t>Host, Communication Style, Language Variations, TikTok, Live Streaming Commerce</w:t>
            </w:r>
          </w:p>
          <w:p w14:paraId="04A17FD8" w14:textId="77777777" w:rsidR="00851D00" w:rsidRDefault="00851D00">
            <w:pPr>
              <w:rPr>
                <w:rFonts w:ascii="Calibri" w:eastAsia="Calibri" w:hAnsi="Calibri" w:cs="Calibri"/>
                <w:b/>
                <w:sz w:val="18"/>
                <w:szCs w:val="18"/>
              </w:rPr>
            </w:pPr>
          </w:p>
          <w:p w14:paraId="65479D68" w14:textId="44DBC422" w:rsidR="00956820" w:rsidRDefault="0012128B">
            <w:pPr>
              <w:rPr>
                <w:rFonts w:ascii="Calibri" w:eastAsia="Calibri" w:hAnsi="Calibri" w:cs="Calibri"/>
                <w:b/>
                <w:sz w:val="18"/>
                <w:szCs w:val="18"/>
              </w:rPr>
            </w:pPr>
            <w:r>
              <w:rPr>
                <w:rFonts w:ascii="Calibri" w:eastAsia="Calibri" w:hAnsi="Calibri" w:cs="Calibri"/>
                <w:b/>
                <w:sz w:val="18"/>
                <w:szCs w:val="18"/>
              </w:rPr>
              <w:t xml:space="preserve">Abstrak </w:t>
            </w:r>
          </w:p>
          <w:p w14:paraId="5F0EE4F0" w14:textId="77777777" w:rsidR="00851D00" w:rsidRDefault="00851D00" w:rsidP="00851D00">
            <w:pPr>
              <w:jc w:val="both"/>
              <w:rPr>
                <w:rFonts w:ascii="Calibri" w:eastAsia="Calibri" w:hAnsi="Calibri" w:cs="Calibri"/>
                <w:color w:val="000000"/>
                <w:sz w:val="18"/>
                <w:szCs w:val="18"/>
              </w:rPr>
            </w:pPr>
            <w:r w:rsidRPr="00851D00">
              <w:rPr>
                <w:rFonts w:ascii="Calibri" w:eastAsia="Calibri" w:hAnsi="Calibri" w:cs="Calibri"/>
                <w:color w:val="000000"/>
                <w:sz w:val="18"/>
                <w:szCs w:val="18"/>
              </w:rPr>
              <w:t xml:space="preserve">Kemunculan live-streaming commerce menjadi pengalaman baru bagi masyarakat dalam aktifitas jual beli secara langsung.  Meskipun pada 4 Oktober lalu TikTok Shop resmi ditutup, praktik ini masih dapat berlangsung. Salah satu ciri live-streaming commerce adalah kehadiran host. Peran host menjadi sangat penting karena menjadi mediator antara pedagang dan pembeli. Penelitian ini berupaya untuk mengeksplorasi gaya komunikasi dan variasi bahasa yang host gunakan saat melakukan live-streaming commerce. Penelitian mengguanakan pendekatan kualitatif dengan menggunakan metode analisis isi. Observasi digital dilakukan terhadap empat akun TikTok Shop yang sering melakukan aktifitas live-streaming. Wawancara juga digunakan sebagai data sekunder untuk melengkapi hasil observasi. Hasilnya menunjukkan bahwa gaya komunikasi yang banyak dilakukan adalah task-oriented style dengan karakteristik perilaku emotif. Task-oriented style ditunjukkan denganm kecepatan berbicara dan volume suara, sementara perilaku emotif ditunjukkan dengan seringnya menyapa dan membalas pertanyaan </w:t>
            </w:r>
            <w:r w:rsidRPr="00851D00">
              <w:rPr>
                <w:rFonts w:ascii="Calibri" w:eastAsia="Calibri" w:hAnsi="Calibri" w:cs="Calibri"/>
                <w:color w:val="000000"/>
                <w:sz w:val="18"/>
                <w:szCs w:val="18"/>
              </w:rPr>
              <w:lastRenderedPageBreak/>
              <w:t xml:space="preserve">konsumen. Sementara variasi bahasa berdasarkan penggunaan adalah bahasa kasual dengan variasi bahasa penutur yakni sosiolek berdasarkan usia. Akan menjadi lebih baik apabila host dapat mengembangkan ideolek dengan menciptakan karakteristik kata atau kalimat tertentu sehingga menjadi penciri host dengan host yang lain. Hasil ini menunjukkan bahwa live-streaming ruang belanja dengan budaya baru dimana host dituntut untuk mampu menjelaskan produk dengan lugas, cepat dan komprehensif. Di satu sisi, host harus dapat menjalin komunikasi yang baik dengan pembeli agar terjalin interaksi dua arah. </w:t>
            </w:r>
          </w:p>
          <w:p w14:paraId="38F2E570" w14:textId="5CF96B07" w:rsidR="00956820" w:rsidRDefault="0012128B" w:rsidP="00851D00">
            <w:pPr>
              <w:jc w:val="both"/>
              <w:rPr>
                <w:rFonts w:ascii="Calibri" w:eastAsia="Calibri" w:hAnsi="Calibri" w:cs="Calibri"/>
                <w:b/>
                <w:color w:val="000000"/>
              </w:rPr>
            </w:pPr>
            <w:r>
              <w:rPr>
                <w:rFonts w:ascii="Calibri" w:eastAsia="Calibri" w:hAnsi="Calibri" w:cs="Calibri"/>
                <w:b/>
                <w:sz w:val="18"/>
                <w:szCs w:val="18"/>
              </w:rPr>
              <w:t>Kata Kunci:</w:t>
            </w:r>
            <w:r>
              <w:rPr>
                <w:rFonts w:ascii="Calibri" w:eastAsia="Calibri" w:hAnsi="Calibri" w:cs="Calibri"/>
                <w:sz w:val="18"/>
                <w:szCs w:val="18"/>
              </w:rPr>
              <w:t xml:space="preserve"> </w:t>
            </w:r>
            <w:r w:rsidR="00851D00" w:rsidRPr="00851D00">
              <w:rPr>
                <w:rFonts w:ascii="Calibri" w:eastAsia="Calibri" w:hAnsi="Calibri" w:cs="Calibri"/>
                <w:sz w:val="18"/>
                <w:szCs w:val="18"/>
              </w:rPr>
              <w:t>Host</w:t>
            </w:r>
            <w:r w:rsidR="00851D00">
              <w:rPr>
                <w:rFonts w:ascii="Calibri" w:eastAsia="Calibri" w:hAnsi="Calibri" w:cs="Calibri"/>
                <w:sz w:val="18"/>
                <w:szCs w:val="18"/>
              </w:rPr>
              <w:t>,</w:t>
            </w:r>
            <w:r w:rsidR="00851D00" w:rsidRPr="00851D00">
              <w:rPr>
                <w:rFonts w:ascii="Calibri" w:eastAsia="Calibri" w:hAnsi="Calibri" w:cs="Calibri"/>
                <w:sz w:val="18"/>
                <w:szCs w:val="18"/>
              </w:rPr>
              <w:t xml:space="preserve"> Gaya Komunikasi</w:t>
            </w:r>
            <w:r w:rsidR="00851D00">
              <w:rPr>
                <w:rFonts w:ascii="Calibri" w:eastAsia="Calibri" w:hAnsi="Calibri" w:cs="Calibri"/>
                <w:sz w:val="18"/>
                <w:szCs w:val="18"/>
              </w:rPr>
              <w:t>,</w:t>
            </w:r>
            <w:r w:rsidR="00851D00" w:rsidRPr="00851D00">
              <w:rPr>
                <w:rFonts w:ascii="Calibri" w:eastAsia="Calibri" w:hAnsi="Calibri" w:cs="Calibri"/>
                <w:sz w:val="18"/>
                <w:szCs w:val="18"/>
              </w:rPr>
              <w:t xml:space="preserve"> Variasi Bahasa</w:t>
            </w:r>
            <w:r w:rsidR="00851D00">
              <w:rPr>
                <w:rFonts w:ascii="Calibri" w:eastAsia="Calibri" w:hAnsi="Calibri" w:cs="Calibri"/>
                <w:sz w:val="18"/>
                <w:szCs w:val="18"/>
              </w:rPr>
              <w:t>,</w:t>
            </w:r>
            <w:r w:rsidR="00851D00" w:rsidRPr="00851D00">
              <w:rPr>
                <w:rFonts w:ascii="Calibri" w:eastAsia="Calibri" w:hAnsi="Calibri" w:cs="Calibri"/>
                <w:sz w:val="18"/>
                <w:szCs w:val="18"/>
              </w:rPr>
              <w:t xml:space="preserve"> TikTok</w:t>
            </w:r>
            <w:r w:rsidR="00851D00">
              <w:rPr>
                <w:rFonts w:ascii="Calibri" w:eastAsia="Calibri" w:hAnsi="Calibri" w:cs="Calibri"/>
                <w:sz w:val="18"/>
                <w:szCs w:val="18"/>
              </w:rPr>
              <w:t>,</w:t>
            </w:r>
            <w:r w:rsidR="00851D00" w:rsidRPr="00851D00">
              <w:rPr>
                <w:rFonts w:ascii="Calibri" w:eastAsia="Calibri" w:hAnsi="Calibri" w:cs="Calibri"/>
                <w:sz w:val="18"/>
                <w:szCs w:val="18"/>
              </w:rPr>
              <w:t xml:space="preserve"> Live-Streaming Commerce</w:t>
            </w:r>
          </w:p>
        </w:tc>
      </w:tr>
    </w:tbl>
    <w:p w14:paraId="3CB27681" w14:textId="77777777" w:rsidR="00956820" w:rsidRDefault="0012128B">
      <w:pPr>
        <w:rPr>
          <w:rFonts w:ascii="Calibri" w:eastAsia="Calibri" w:hAnsi="Calibri" w:cs="Calibri"/>
          <w:b/>
          <w:color w:val="000000"/>
        </w:rPr>
      </w:pPr>
      <w:r>
        <w:rPr>
          <w:noProof/>
        </w:rPr>
        <w:lastRenderedPageBreak/>
        <mc:AlternateContent>
          <mc:Choice Requires="wps">
            <w:drawing>
              <wp:anchor distT="0" distB="0" distL="114300" distR="114300" simplePos="0" relativeHeight="251658240" behindDoc="0" locked="0" layoutInCell="1" hidden="0" allowOverlap="1" wp14:anchorId="645BC00E" wp14:editId="2EE3B600">
                <wp:simplePos x="0" y="0"/>
                <wp:positionH relativeFrom="column">
                  <wp:posOffset>1689100</wp:posOffset>
                </wp:positionH>
                <wp:positionV relativeFrom="paragraph">
                  <wp:posOffset>50800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441000" y="3780000"/>
                          <a:ext cx="381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1689100</wp:posOffset>
                </wp:positionH>
                <wp:positionV relativeFrom="paragraph">
                  <wp:posOffset>50800</wp:posOffset>
                </wp:positionV>
                <wp:extent cx="0" cy="12700"/>
                <wp:effectExtent b="0" l="0" r="0" t="0"/>
                <wp:wrapNone/>
                <wp:docPr id="9"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25790849" w14:textId="77777777" w:rsidR="00956820" w:rsidRDefault="00956820">
      <w:pPr>
        <w:jc w:val="both"/>
        <w:rPr>
          <w:rFonts w:ascii="Calibri" w:eastAsia="Calibri" w:hAnsi="Calibri" w:cs="Calibri"/>
          <w:b/>
        </w:rPr>
      </w:pPr>
    </w:p>
    <w:p w14:paraId="2F3F8EB2" w14:textId="5E182775" w:rsidR="00956820" w:rsidRDefault="0012128B">
      <w:pPr>
        <w:jc w:val="both"/>
        <w:rPr>
          <w:rFonts w:ascii="Calibri" w:eastAsia="Calibri" w:hAnsi="Calibri" w:cs="Calibri"/>
          <w:b/>
          <w:sz w:val="22"/>
          <w:szCs w:val="22"/>
        </w:rPr>
      </w:pPr>
      <w:r>
        <w:rPr>
          <w:rFonts w:ascii="Calibri" w:eastAsia="Calibri" w:hAnsi="Calibri" w:cs="Calibri"/>
          <w:b/>
          <w:sz w:val="22"/>
          <w:szCs w:val="22"/>
        </w:rPr>
        <w:t xml:space="preserve">INTRODUCTION </w:t>
      </w:r>
    </w:p>
    <w:p w14:paraId="19F23E12" w14:textId="77777777"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The present landscape of media consumption is primarily dominated by two demographic groups: Generation Z, encompassing individuals aged 18 to 25 years, and Generation Y, also referred to as millennials, spanning the age range of 26 to 41 years (Kemp, 2023). The consumption behavior of individuals has shifted from electronic media to social media (Haenlein et al., 2020; Yusra, 2023).  For instance, they prefer streaming platforms such as Netflix and Disney Hotstar to watch television. They also prefer to utilize Spotify for audio content, rather than relying on radio broadcasts (Haenlein et al., 2020). Furthermore, individuals demonstrate a preference for engaging in e-commerce activities via online marketplaces and popular social media platforms, like TikTok and Instagram. This phenomena is commonly ascribed to the increasing popularity of service features that are enhancing convenience for them (Haotian &amp; Yubin, 2023; Jati, 2020; Lin &amp; Nuangjamnong, 2022). </w:t>
      </w:r>
    </w:p>
    <w:p w14:paraId="7D43F168" w14:textId="77777777" w:rsidR="00851D00" w:rsidRPr="00851D00" w:rsidRDefault="00851D00" w:rsidP="00851D00">
      <w:pPr>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The data reveals that generation Z dominates TikTok by 38.9% while generation Y is 32.4%. Meanwhile, Instagram is 0.5% different between generations Z and Y, 30.8% dominated by generation Z and generation Y is 30.3%  (Kemp, 2023). The aforementioned shift has triggered the emergence of mobile marketing, particularly on social media platforms (Haenlein et al., 2020). Social media companies such as TikTok has significant transformations in recent years by shifting their focus from social aspects to commercial aspects. This phenomenon is finally referred to as “social commerce” (Huang &amp; Benyoucef, 2013; Oktania &amp; Indarwati, 2022; Zhou et al., 2013). Social commerce has emerged as a choice for individuals in their shopping endeavors. It is not only offering a new experience, but also transforms the shopping paradigm by presenting interactive, attractive, and entertaining content (Becdach et al., 2022).  </w:t>
      </w:r>
    </w:p>
    <w:p w14:paraId="32911DD1" w14:textId="77777777"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It occurs because of the inherent capability of the application's live-streaming service. This service provides customer engagement which facilitates live video presentations and direct sales more conveniently (Luo et al., 2021; Wongkitrungrueng et al., 2020) . Thus, the concept of "live-streaming commerce" emerged (Haenlein et al., 2020; Lin &amp; Nuangjamnong, 2022; Luo et al., 2021; Wongkitrungrueng et al., 2020). This feature also provides a distinct advantage over other social commerce platforms such as WhatsApp Business, Instagram Shop, and Facebook Marketplace. Based on the Populix report, most of social media users (54%) are expected to persist in making purchases on the TikTok platform (Populix.co, 2022). It shows that the user base of TikTok has seen a transition in its demographic, evolving from mostly content-engaged viewers to a prospective consumer segment (Lin &amp; Nuangjamnong, 2022). The growing popularity of TikTok in the realm of social commerce led it as a formidable competitor to established marketplaces such as Shopee and Tokopedia. According to a survey conducted by Populix in May 2023, TikTok Live has emerged as the second most popular livestreaming feature among users, gaining a 25% share of the vote. In contrast, Shopee Live maintains its position as the preferred choice of 69%. While other applications, such as Tokopedia Play 4% and LazLive2% (Vedhitya, 2023).  </w:t>
      </w:r>
    </w:p>
    <w:p w14:paraId="0431984C" w14:textId="77777777" w:rsidR="00851D00" w:rsidRPr="00851D00" w:rsidRDefault="00851D00" w:rsidP="00851D00">
      <w:pPr>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However, live-streaming commerce requires the involvement of a host, a person who actively market of goods and services through various social media platforms (Haotian &amp; Yubin, 2023). The presence of an active host is essential during live streaming as it fosters engagement and captivates the attention of viewers, hence generating interest and curiosity in observing the host's activities. Hosts have a </w:t>
      </w:r>
      <w:r w:rsidRPr="00851D00">
        <w:rPr>
          <w:rFonts w:ascii="Calibri" w:eastAsia="Calibri" w:hAnsi="Calibri" w:cs="Calibri"/>
          <w:sz w:val="22"/>
          <w:szCs w:val="22"/>
          <w:lang w:val="en-ID"/>
        </w:rPr>
        <w:lastRenderedPageBreak/>
        <w:t xml:space="preserve">responsibility to promptly address consumer inquiries and requests in a timely manner (Haotian &amp; Yubin, 2023). The host also has the responsibility for the magnitude of sales (Luo et al., 2021). Hence, the host factor plays pivotal role in influencing customer purchasing intentions. Hosts should have expertise with the subject matter under discussion. Hosts should know to encourage and engage the customers into various discussions, while a primary emphasis on sales-oriented objectives. Essentially, hosts are obligated to understand product knowledge.  </w:t>
      </w:r>
    </w:p>
    <w:p w14:paraId="7DAC4604" w14:textId="77777777"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The majority studies in the field of communications and linguistics focused on social live-streaming where the content is extremely different than live-streaming commerce.  Mostly the research concentrates on celebrities or influential figures in the digital space. Research (Rastini et al., 2022; Rohmah &amp; Sabardila, 2022) provide a limited explanation of how a person or figure conveys a message. Nevertheless, the scope of those studies was limited to the realm of social media and does not encompass the specific area of live streaming commerce. While several recent studies emphasized on quantitative research particularly in the field of business and marketing, with a specific focus on behavioristic aspects (Elo et al., 2014; Lu et al., 2022; Sun et al., 2019; Wang et al., 2022; Wei, 2022). The researchers in this field mostly adopt a cause-and-effect approach, such as discussing the relationship between live streaming management and marketing strategies and consumer purchase intention. Moreover, some studies rely on a strong association between live streaming commerce and influencers  (Belanche et al., 2021; LI et al., 2022; Lin &amp; Nuangjamnong, 2022). Although the role of host is more suited to someone with direct sales skills than the influencer who has large fan base(Chen et al., 2022).  </w:t>
      </w:r>
    </w:p>
    <w:p w14:paraId="55070050" w14:textId="77777777"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Recent study by (Luo et al., 2021; Orlando &amp; Fachira, 2023; Setya et al., 2022) may provide an exception to the trend. Luo et al., (2021) analyzed and classified the persuasion techniques employed by host by analyzing chat logs from live-streaming shopping events. The researchers discovered that using a language style that appeals to personality has the greatest positive effect on sales, while using a language style that appeals to rationality has a negative effect. Meanwhile, the study by Orlando and Fachira (2023) revealed that visual appearance, the promotions, and consultation were found to have a positive correlation to the customer trust. Unexpectedly, product review and the use of humor by the host were rejected. The use of humor should be approached with caution, as it can negatively affect costumer’s trust, and reviewing a product is merely a requirement for the host and does not affect to establish customer’s trust.  Another study by Setya et al., (2022) analyze the study of language variation and its impact using content analysis technique. They found that language variation depends on the profile and domicile of the host. When doing live-streaming commerce, most people use the Betawi accent, which has a wide range of words. These studies prove us that the host and the way they communicate and interacts with customers is the main key to success when doing live. </w:t>
      </w:r>
    </w:p>
    <w:p w14:paraId="08A3D675" w14:textId="77777777"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The objective of this study is to investigate the spoken language of a host from language aspect and the factors that influence communication style during live-streaming commerce.  Scholars have emphasized the observation that online communication facilitates the convergence of many styles, registers, and genres (Baron, 2011). This study can be classified as cross-sector research from linguistics and communication aspect.  This research was inspired by the emergence of live streaming as a social commerce feature. The expansion and competitiveness of sales in the digital domain are on the rise where a host is needed. The emergence of live streaming has become a magnet for researchers in various fields, including technology, communications, business, and psychology. Nevertheless, existing research fails to address the details of the way communication by host in the context of live streaming commerce. The available literature on this topic is still limited in Indonesia.    </w:t>
      </w:r>
    </w:p>
    <w:p w14:paraId="1066EE5E" w14:textId="77777777" w:rsidR="00851D00" w:rsidRPr="00851D00" w:rsidRDefault="00851D00" w:rsidP="00851D00">
      <w:pPr>
        <w:jc w:val="both"/>
        <w:rPr>
          <w:rFonts w:ascii="Calibri" w:eastAsia="Calibri" w:hAnsi="Calibri" w:cs="Calibri"/>
          <w:sz w:val="22"/>
          <w:szCs w:val="22"/>
          <w:lang w:val="en-ID"/>
        </w:rPr>
      </w:pPr>
      <w:r w:rsidRPr="00851D00">
        <w:rPr>
          <w:rFonts w:ascii="Calibri" w:eastAsia="Calibri" w:hAnsi="Calibri" w:cs="Calibri"/>
          <w:b/>
          <w:sz w:val="22"/>
          <w:szCs w:val="22"/>
          <w:lang w:val="en-ID"/>
        </w:rPr>
        <w:t xml:space="preserve"> </w:t>
      </w:r>
    </w:p>
    <w:p w14:paraId="57D357E6" w14:textId="77777777" w:rsidR="00851D00" w:rsidRPr="00851D00" w:rsidRDefault="00851D00" w:rsidP="00851D00">
      <w:pPr>
        <w:jc w:val="both"/>
        <w:rPr>
          <w:rFonts w:ascii="Calibri" w:eastAsia="Calibri" w:hAnsi="Calibri" w:cs="Calibri"/>
          <w:b/>
          <w:sz w:val="22"/>
          <w:szCs w:val="22"/>
          <w:lang w:val="en-ID"/>
        </w:rPr>
      </w:pPr>
      <w:r w:rsidRPr="00851D00">
        <w:rPr>
          <w:rFonts w:ascii="Calibri" w:eastAsia="Calibri" w:hAnsi="Calibri" w:cs="Calibri"/>
          <w:b/>
          <w:sz w:val="22"/>
          <w:szCs w:val="22"/>
          <w:lang w:val="en-ID"/>
        </w:rPr>
        <w:t xml:space="preserve">Host of Live-Streaming Commerce  </w:t>
      </w:r>
    </w:p>
    <w:p w14:paraId="61E004E5" w14:textId="77777777"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Numerous sources indicate that the origin of live streaming commerce may be traced back to the TV home shopping, which emerged during the 1980s (Alba et al., 1997; Cortese &amp; Rubin, 2010; McDonald, 1995; Yang &amp; Duan, 2010). The term "host" serves as a distinguishing factor between news programs and non-news programming on television. In the realm of news programming, the one </w:t>
      </w:r>
      <w:r w:rsidRPr="00851D00">
        <w:rPr>
          <w:rFonts w:ascii="Calibri" w:eastAsia="Calibri" w:hAnsi="Calibri" w:cs="Calibri"/>
          <w:sz w:val="22"/>
          <w:szCs w:val="22"/>
          <w:lang w:val="en-ID"/>
        </w:rPr>
        <w:lastRenderedPageBreak/>
        <w:t xml:space="preserve">responsible for leading and presenting the content is commonly referred to as an anchor. Conversely, in the context of music programming and quiz, a person who guides and presents the program is typically known as a presenter. Furthermore, in the domain of talk shows, the individual who assumes the role of guiding and facilitating the discussion is commonly referred to as a host. In certain instances, the primary host may receive support from a co-host, typically comprising individuals from the realm of celebrity. </w:t>
      </w:r>
    </w:p>
    <w:p w14:paraId="6A28A612" w14:textId="77777777"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The popular channels of TV home shopping are QVC and Home Shopping Network. In 1993, TV home-shopping growth and has become a substantial market, generating £500 million annually in the United Kingdom (Hayes, 2003). In this marketing strategy, a host accompany by another person usually a celebrity to promote a series of products, each of which is showcased for a restricted duration. The primary characteristics of this era encompass demonstrations, styling examples, and consumer testimonials (Baird, 2023). Therefore, a host hold an important role to make the program succeed while the celebrity was mainly attracting the large audience.  It can be argued that live streaming commerce has certain similarities with traditional TV home shopping, as both platforms involve the promotion and sale of products, some commerce platforms leverage the power of influencer, a current term of celebrity, to grab online followers to enhance their marketing efforts. (Chen et al., 2022; Haenlein et al., 2020; Halim &amp; Tyra, 2021; LI et al., 2022).  </w:t>
      </w:r>
    </w:p>
    <w:p w14:paraId="79F533E0" w14:textId="328CD898"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Contrary, Live-streaming commerce is more prevalent due to the capacity of each platform to support tens of thousands of concurrent live-streaming shows. As a result, consumers are presented with a vast selection of options (Chen et al., 2022). Therefore, a host is not required to have a higher education or a background degree or having a professional background in communications. The host can be fulfilled either by the store owner or a person who has effective communication skills. The offering method also tends to be concise, the host is not necessary to demonstrate the product, as the primary objective is focused on direct selling rather than brand awareness. Beyond, the host should master the product knowledge, and able to attract consumer purchase intention (Duggan &amp; Nicole, 2022; Lu &amp; Chen, 2021; Lv et al., 2018; Sun et al., 2019).  </w:t>
      </w:r>
    </w:p>
    <w:p w14:paraId="4ED409D1" w14:textId="77777777"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In practice, the host must have storytelling and persuasion skills to reply to various questions from customers. Live-streaming schedules of hosts which managed by agents are typically quite busy. Therefore, hosts should keep healthy to engage in discussion for extended durations during live, up to 3 hours. In addition, they also need to manage their self-personal problems. It is important to maintain a high level of concentration on professional tasks. Hosts need to manage tasks at various periods of the day even in the evenings and weekends. The host must be a person with a friendly demeanor, an intriguing personality, and a creative mind. They must always fresh and entertaining to keep viewers still in the channel and returning to watch their live streams. Beside communication skills, self-initiative, and a strong work ethic, it is crucial for a host to understand the equipment such as webcams, cameras, software, and streaming platforms. This becomes essential when operating a live-streaming enterprise.  </w:t>
      </w:r>
    </w:p>
    <w:p w14:paraId="37897111" w14:textId="77777777" w:rsidR="00851D00" w:rsidRPr="00851D00" w:rsidRDefault="00851D00" w:rsidP="00851D00">
      <w:pPr>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 </w:t>
      </w:r>
    </w:p>
    <w:p w14:paraId="2EC3605C" w14:textId="77777777" w:rsidR="00851D00" w:rsidRPr="00851D00" w:rsidRDefault="00851D00" w:rsidP="00851D00">
      <w:pPr>
        <w:jc w:val="both"/>
        <w:rPr>
          <w:rFonts w:ascii="Calibri" w:eastAsia="Calibri" w:hAnsi="Calibri" w:cs="Calibri"/>
          <w:b/>
          <w:sz w:val="22"/>
          <w:szCs w:val="22"/>
          <w:lang w:val="en-ID"/>
        </w:rPr>
      </w:pPr>
      <w:r w:rsidRPr="00851D00">
        <w:rPr>
          <w:rFonts w:ascii="Calibri" w:eastAsia="Calibri" w:hAnsi="Calibri" w:cs="Calibri"/>
          <w:b/>
          <w:sz w:val="22"/>
          <w:szCs w:val="22"/>
          <w:lang w:val="en-ID"/>
        </w:rPr>
        <w:t xml:space="preserve">Communication Style </w:t>
      </w:r>
    </w:p>
    <w:p w14:paraId="18547254" w14:textId="77777777"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The vast literature on communication style refers to (Manning et al., 2020; Sheth, 1976). Specifically, (Manning et al., 2020) indicates five communication-style principles:  First, the fact that everyone has their own unique encompassing both of physical attributes and voice features; Second, cognitive and behavioral factors wherein a style conforms to a person's preferred approach or method for performing a task or activity. Third, environmental and genetic factors where individuals’ communication-style is determined by their early experiences and social environment. Fourth, cultural context where individuals involve in a community. Fifth, adaptation where individuals can develop their style by adopting a colleague's style which can serve as a model for effective communication or cultivating their own communication abilities in order to establish a unique style. </w:t>
      </w:r>
    </w:p>
    <w:p w14:paraId="7AB2D03C" w14:textId="5F96570D" w:rsidR="00851D00" w:rsidRPr="00851D00" w:rsidRDefault="00851D00" w:rsidP="00851D00">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Therefore, Sheth (1976) assumed that communication style is divided into threedimensional, there are: task-oriented style, interaction-oriented style, and self-oriented style.  The first style </w:t>
      </w:r>
      <w:r w:rsidRPr="00851D00">
        <w:rPr>
          <w:rFonts w:ascii="Calibri" w:eastAsia="Calibri" w:hAnsi="Calibri" w:cs="Calibri"/>
          <w:sz w:val="22"/>
          <w:szCs w:val="22"/>
          <w:lang w:val="en-ID"/>
        </w:rPr>
        <w:lastRenderedPageBreak/>
        <w:t xml:space="preserve">emphasizes on achieving certain objectives and serving a distinct purpose. The primary focus of is optimizing the efficiency of task execution. Individuals that prioritize this style tend to have less tolerance for any activities during the interaction. The second style emphasizes interpersonal engagement and collaboration. Both host and viewer believe that personalization and socialization are integral components of the interaction process. Individuals frequently display a compulsive tendency to prioritize a personal relationship before they discuss into the product offered. The last style demonstrates an individual's inclination towards self-centeredness within an interpersonal context. Several exogenous factors determine the host interaction such as personal factors associated with the host organizational and lifestyle; organizational factors associated with the company involvement in recruiting, selecting, training, and equipping the hosts to be ready to serve live commerce; The product-specific factors tied to market motivations, competitive structure, and </w:t>
      </w:r>
      <w:r w:rsidR="00A104E4" w:rsidRPr="00851D00">
        <w:rPr>
          <w:rFonts w:ascii="Calibri" w:eastAsia="Calibri" w:hAnsi="Calibri" w:cs="Calibri"/>
          <w:sz w:val="22"/>
          <w:szCs w:val="22"/>
          <w:lang w:val="en-ID"/>
        </w:rPr>
        <w:t>buyer seller</w:t>
      </w:r>
      <w:r w:rsidRPr="00851D00">
        <w:rPr>
          <w:rFonts w:ascii="Calibri" w:eastAsia="Calibri" w:hAnsi="Calibri" w:cs="Calibri"/>
          <w:sz w:val="22"/>
          <w:szCs w:val="22"/>
          <w:lang w:val="en-ID"/>
        </w:rPr>
        <w:t xml:space="preserve"> plans.  </w:t>
      </w:r>
    </w:p>
    <w:p w14:paraId="38EB9831" w14:textId="4BC9879B" w:rsidR="00851D00" w:rsidRDefault="00851D00" w:rsidP="00C3504D">
      <w:pPr>
        <w:ind w:firstLine="720"/>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Manning's (2020) stated that communication styles are developed by two fundamental aspects of human </w:t>
      </w:r>
      <w:r w:rsidR="00A104E4" w:rsidRPr="00851D00">
        <w:rPr>
          <w:rFonts w:ascii="Calibri" w:eastAsia="Calibri" w:hAnsi="Calibri" w:cs="Calibri"/>
          <w:sz w:val="22"/>
          <w:szCs w:val="22"/>
          <w:lang w:val="en-ID"/>
        </w:rPr>
        <w:t>behaviours</w:t>
      </w:r>
      <w:r w:rsidRPr="00851D00">
        <w:rPr>
          <w:rFonts w:ascii="Calibri" w:eastAsia="Calibri" w:hAnsi="Calibri" w:cs="Calibri"/>
          <w:sz w:val="22"/>
          <w:szCs w:val="22"/>
          <w:lang w:val="en-ID"/>
        </w:rPr>
        <w:t xml:space="preserve">: dominance and sociability. Dominance can be defined as the tendency to control or prevail over others.  People who are dominant are typically quite competitive.  They are typically opinionated, decisive, confident, and outspoken. Sociability reflects the degree to which we exert control over our emotional expression. This combination established four communication styles model: Emotive, Directive, Reflective, and Supportive.  </w:t>
      </w:r>
    </w:p>
    <w:p w14:paraId="6C7E973B" w14:textId="77777777" w:rsidR="00C3504D" w:rsidRPr="00851D00" w:rsidRDefault="00C3504D" w:rsidP="00851D00">
      <w:pPr>
        <w:jc w:val="both"/>
        <w:rPr>
          <w:rFonts w:ascii="Calibri" w:eastAsia="Calibri" w:hAnsi="Calibri" w:cs="Calibri"/>
          <w:sz w:val="22"/>
          <w:szCs w:val="22"/>
          <w:lang w:val="en-ID"/>
        </w:rPr>
      </w:pPr>
    </w:p>
    <w:p w14:paraId="4CEDB23A" w14:textId="7531B43D" w:rsidR="00C3504D" w:rsidRPr="00851D00" w:rsidRDefault="00851D00" w:rsidP="00C3504D">
      <w:pPr>
        <w:jc w:val="center"/>
        <w:rPr>
          <w:rFonts w:ascii="Calibri" w:eastAsia="Calibri" w:hAnsi="Calibri" w:cs="Calibri"/>
          <w:bCs/>
          <w:lang w:val="en-ID"/>
        </w:rPr>
      </w:pPr>
      <w:r w:rsidRPr="00851D00">
        <w:rPr>
          <w:rFonts w:ascii="Calibri" w:eastAsia="Calibri" w:hAnsi="Calibri" w:cs="Calibri"/>
          <w:sz w:val="22"/>
          <w:szCs w:val="22"/>
          <w:lang w:val="en-ID"/>
        </w:rPr>
        <w:t xml:space="preserve">. </w:t>
      </w:r>
      <w:r w:rsidR="00C3504D" w:rsidRPr="00851D00">
        <w:rPr>
          <w:rFonts w:ascii="Calibri" w:eastAsia="Calibri" w:hAnsi="Calibri" w:cs="Calibri"/>
          <w:bCs/>
          <w:lang w:val="en-ID"/>
        </w:rPr>
        <w:t>Figure 1.  The mapping of Communication Style</w:t>
      </w:r>
    </w:p>
    <w:p w14:paraId="413A5629" w14:textId="4817D503" w:rsidR="00851D00" w:rsidRPr="00851D00" w:rsidRDefault="00851D00" w:rsidP="00851D00">
      <w:pPr>
        <w:jc w:val="center"/>
        <w:rPr>
          <w:rFonts w:ascii="Calibri" w:eastAsia="Calibri" w:hAnsi="Calibri" w:cs="Calibri"/>
          <w:sz w:val="22"/>
          <w:szCs w:val="22"/>
          <w:lang w:val="en-ID"/>
        </w:rPr>
      </w:pPr>
      <w:r w:rsidRPr="00851D00">
        <w:rPr>
          <w:rFonts w:ascii="Calibri" w:eastAsia="Calibri" w:hAnsi="Calibri" w:cs="Calibri"/>
          <w:sz w:val="22"/>
          <w:szCs w:val="22"/>
          <w:lang w:val="en-ID"/>
        </w:rPr>
        <w:drawing>
          <wp:inline distT="0" distB="0" distL="0" distR="0" wp14:anchorId="1B09AB60" wp14:editId="5A26A58D">
            <wp:extent cx="2857500" cy="2371725"/>
            <wp:effectExtent l="0" t="0" r="0" b="9525"/>
            <wp:docPr id="1296" name="Picture 1296"/>
            <wp:cNvGraphicFramePr/>
            <a:graphic xmlns:a="http://schemas.openxmlformats.org/drawingml/2006/main">
              <a:graphicData uri="http://schemas.openxmlformats.org/drawingml/2006/picture">
                <pic:pic xmlns:pic="http://schemas.openxmlformats.org/drawingml/2006/picture">
                  <pic:nvPicPr>
                    <pic:cNvPr id="1296" name="Picture 1296"/>
                    <pic:cNvPicPr/>
                  </pic:nvPicPr>
                  <pic:blipFill>
                    <a:blip r:embed="rId11"/>
                    <a:stretch>
                      <a:fillRect/>
                    </a:stretch>
                  </pic:blipFill>
                  <pic:spPr>
                    <a:xfrm>
                      <a:off x="0" y="0"/>
                      <a:ext cx="2857759" cy="2371940"/>
                    </a:xfrm>
                    <a:prstGeom prst="rect">
                      <a:avLst/>
                    </a:prstGeom>
                  </pic:spPr>
                </pic:pic>
              </a:graphicData>
            </a:graphic>
          </wp:inline>
        </w:drawing>
      </w:r>
    </w:p>
    <w:p w14:paraId="32880711" w14:textId="3ADEBBA6" w:rsidR="00851D00" w:rsidRDefault="00A104E4" w:rsidP="00A104E4">
      <w:pPr>
        <w:jc w:val="center"/>
        <w:rPr>
          <w:rFonts w:ascii="Calibri" w:eastAsia="Calibri" w:hAnsi="Calibri" w:cs="Calibri"/>
          <w:lang w:val="en-ID"/>
        </w:rPr>
      </w:pPr>
      <w:r w:rsidRPr="00C3504D">
        <w:rPr>
          <w:rFonts w:ascii="Calibri" w:eastAsia="Calibri" w:hAnsi="Calibri" w:cs="Calibri"/>
          <w:lang w:val="en-ID"/>
        </w:rPr>
        <w:t>Source: Ma</w:t>
      </w:r>
      <w:r>
        <w:rPr>
          <w:rFonts w:ascii="Calibri" w:eastAsia="Calibri" w:hAnsi="Calibri" w:cs="Calibri"/>
          <w:lang w:val="en-ID"/>
        </w:rPr>
        <w:t>nning</w:t>
      </w:r>
      <w:r w:rsidRPr="00C3504D">
        <w:rPr>
          <w:rFonts w:ascii="Calibri" w:eastAsia="Calibri" w:hAnsi="Calibri" w:cs="Calibri"/>
          <w:lang w:val="en-ID"/>
        </w:rPr>
        <w:t>, et.al</w:t>
      </w:r>
      <w:r>
        <w:rPr>
          <w:rFonts w:ascii="Calibri" w:eastAsia="Calibri" w:hAnsi="Calibri" w:cs="Calibri"/>
          <w:lang w:val="en-ID"/>
        </w:rPr>
        <w:t xml:space="preserve"> (2020)</w:t>
      </w:r>
    </w:p>
    <w:p w14:paraId="11EC2B21" w14:textId="77777777" w:rsidR="00A104E4" w:rsidRPr="00851D00" w:rsidRDefault="00A104E4" w:rsidP="00A104E4">
      <w:pPr>
        <w:jc w:val="center"/>
        <w:rPr>
          <w:rFonts w:ascii="Calibri" w:eastAsia="Calibri" w:hAnsi="Calibri" w:cs="Calibri"/>
          <w:sz w:val="22"/>
          <w:szCs w:val="22"/>
          <w:lang w:val="en-ID"/>
        </w:rPr>
      </w:pPr>
    </w:p>
    <w:p w14:paraId="2783F729" w14:textId="5FAE8E04" w:rsidR="00851D00" w:rsidRDefault="00851D00" w:rsidP="00851D00">
      <w:pPr>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Individuals who are emotive usually stand out in a crowd. They are outgoing and ready to put in time to keep and enjoy many relationships. The directive typically prioritizes efficiency and straight to the point when speaking, has a greater sense of ease when engaging in conversation rather than actively listening, lack of warmth and tends to be predominantly focused on business matters, without personal touch. The individual prefers maintaining control. Individuals who are reflective typically considers all the available information, before making a choice. Individuals belonging to supportive find it simple to listen and rarely express their opinions with force. They perform their duties in a quiet, unassuming manner and rarely attract attention to their accomplishments. </w:t>
      </w:r>
    </w:p>
    <w:p w14:paraId="468B197A" w14:textId="77777777" w:rsidR="00851D00" w:rsidRPr="00851D00" w:rsidRDefault="00851D00" w:rsidP="00851D00">
      <w:pPr>
        <w:jc w:val="both"/>
        <w:rPr>
          <w:rFonts w:ascii="Calibri" w:eastAsia="Calibri" w:hAnsi="Calibri" w:cs="Calibri"/>
          <w:sz w:val="22"/>
          <w:szCs w:val="22"/>
          <w:lang w:val="en-ID"/>
        </w:rPr>
      </w:pPr>
    </w:p>
    <w:p w14:paraId="0CADAD86" w14:textId="77777777" w:rsidR="00851D00" w:rsidRPr="00851D00" w:rsidRDefault="00851D00" w:rsidP="00851D00">
      <w:pPr>
        <w:jc w:val="both"/>
        <w:rPr>
          <w:rFonts w:ascii="Calibri" w:eastAsia="Calibri" w:hAnsi="Calibri" w:cs="Calibri"/>
          <w:b/>
          <w:sz w:val="22"/>
          <w:szCs w:val="22"/>
          <w:lang w:val="en-ID"/>
        </w:rPr>
      </w:pPr>
      <w:r w:rsidRPr="00851D00">
        <w:rPr>
          <w:rFonts w:ascii="Calibri" w:eastAsia="Calibri" w:hAnsi="Calibri" w:cs="Calibri"/>
          <w:b/>
          <w:sz w:val="22"/>
          <w:szCs w:val="22"/>
          <w:lang w:val="en-ID"/>
        </w:rPr>
        <w:t xml:space="preserve">Language Variation </w:t>
      </w:r>
    </w:p>
    <w:p w14:paraId="7DE6A80C" w14:textId="77777777" w:rsidR="00851D00" w:rsidRPr="00851D00" w:rsidRDefault="00851D00" w:rsidP="00851D00">
      <w:pPr>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The concept of language variation might be considered to the linguistic variants that exist within a particular language. These variants signify the patterns that are similar to the overall pattern of the parent language (Aslinda &amp; Syafyahya, 2010; Azza &amp; Sukirno, 2023). Thus far, language variation might be approached from the perspectives of usage or application.  It is intricately connected to the many activities that individuals engage in daily life including language in commerce (Azza &amp; Sukirno, 2023). </w:t>
      </w:r>
      <w:r w:rsidRPr="00851D00">
        <w:rPr>
          <w:rFonts w:ascii="Calibri" w:eastAsia="Calibri" w:hAnsi="Calibri" w:cs="Calibri"/>
          <w:sz w:val="22"/>
          <w:szCs w:val="22"/>
          <w:lang w:val="en-ID"/>
        </w:rPr>
        <w:lastRenderedPageBreak/>
        <w:t xml:space="preserve">In addition to commerce, the technology typically employed by the younger generation contributes to the evolution of language varieties. The generation of Z and Y has been identified as a significant catalyst for rapid language development (Rohmah &amp; Sabardila, 2022).  </w:t>
      </w:r>
    </w:p>
    <w:p w14:paraId="14C9C14F" w14:textId="77777777" w:rsidR="00851D00" w:rsidRPr="00851D00" w:rsidRDefault="00851D00" w:rsidP="00851D00">
      <w:pPr>
        <w:jc w:val="both"/>
        <w:rPr>
          <w:rFonts w:ascii="Calibri" w:eastAsia="Calibri" w:hAnsi="Calibri" w:cs="Calibri"/>
          <w:sz w:val="22"/>
          <w:szCs w:val="22"/>
          <w:lang w:val="en-ID"/>
        </w:rPr>
      </w:pPr>
      <w:r w:rsidRPr="00851D00">
        <w:rPr>
          <w:rFonts w:ascii="Calibri" w:eastAsia="Calibri" w:hAnsi="Calibri" w:cs="Calibri"/>
          <w:sz w:val="22"/>
          <w:szCs w:val="22"/>
          <w:lang w:val="en-ID"/>
        </w:rPr>
        <w:t xml:space="preserve">(Chaer &amp; Agustina, 2004) stated that language variation can be categorized into two types, specifically: Speaker and Usage. The categorization of speaker can be classified into several distinct categories: idiolects, dialects, and chronolects sociolects, age, education, gender, and social class. While the categorization of Usage divided into five such as: frozen, formal, consultative, casual, intimate. Therefore, language variation in the context of host live-streaming commerce has distinctive characteristics that differentiate them from other domains. Live-streaming commerce is incorporated into business, the language in this area is typically communicative, conciseness, clarity, and freed by time or space (Mahmud &amp; Wirabhakti, 2023).  </w:t>
      </w:r>
    </w:p>
    <w:p w14:paraId="35B276E2" w14:textId="77777777" w:rsidR="00956820" w:rsidRDefault="00956820">
      <w:pPr>
        <w:jc w:val="both"/>
        <w:rPr>
          <w:rFonts w:ascii="Calibri" w:eastAsia="Calibri" w:hAnsi="Calibri" w:cs="Calibri"/>
          <w:b/>
          <w:sz w:val="22"/>
          <w:szCs w:val="22"/>
        </w:rPr>
      </w:pPr>
    </w:p>
    <w:p w14:paraId="1A877C2B" w14:textId="615D37FB" w:rsidR="00956820" w:rsidRDefault="0012128B">
      <w:pPr>
        <w:jc w:val="both"/>
        <w:rPr>
          <w:rFonts w:ascii="Calibri" w:eastAsia="Calibri" w:hAnsi="Calibri" w:cs="Calibri"/>
          <w:sz w:val="22"/>
          <w:szCs w:val="22"/>
        </w:rPr>
      </w:pPr>
      <w:r>
        <w:rPr>
          <w:rFonts w:ascii="Calibri" w:eastAsia="Calibri" w:hAnsi="Calibri" w:cs="Calibri"/>
          <w:b/>
          <w:sz w:val="22"/>
          <w:szCs w:val="22"/>
        </w:rPr>
        <w:t>METHOD</w:t>
      </w:r>
      <w:r>
        <w:rPr>
          <w:rFonts w:ascii="Calibri" w:eastAsia="Calibri" w:hAnsi="Calibri" w:cs="Calibri"/>
          <w:sz w:val="22"/>
          <w:szCs w:val="22"/>
        </w:rPr>
        <w:t xml:space="preserve"> </w:t>
      </w:r>
    </w:p>
    <w:p w14:paraId="700E6E55" w14:textId="77777777" w:rsidR="006068D0" w:rsidRPr="006068D0" w:rsidRDefault="006068D0" w:rsidP="006068D0">
      <w:pPr>
        <w:ind w:firstLine="720"/>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This study investigates how TikTok hosts sells products on the live streaming platform. The subject this research is the host, while TikTok Live serves as the object of this research. This study can be categorized as part of the cyber media micro analysis unit, which focuses on the text analysis (Nasrullah, 2014). Therefore, this study employed a qualitative approach with content analysis method. Qualitative content analysis can be employed in both inductive and deductive research paradigms. The analytical process comprises three primary parts, specifically: preparation, organization, and reporting of results. Primary data is acquired through the process of observation, whereas secondary data is gained through interviews conducted to verify information from relevant informants. However, it is important to underline that the  observation in content analysis is distinct from participant and nonparticipant observation, because the success of content analysis is highly dependent on the coding procedure  (Hsieh &amp; Shannon, 2005). </w:t>
      </w:r>
    </w:p>
    <w:p w14:paraId="74ABB494" w14:textId="22A50E63" w:rsidR="006068D0" w:rsidRDefault="006068D0" w:rsidP="006068D0">
      <w:pPr>
        <w:ind w:firstLine="720"/>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The data processing follows the research procedures by (Elo et al., 2014), which include three phases: preparation, organization, report. During the preparatory phase, researchers conducted an examination of live commerce accounts on TikTok, focusing on two distinct categories of sellers: Large-Scale Company and MSMes (Micro, Small, And Medium Enterprise). Then we seek the official account of each respective brands. During September, researchers monitored the frequency of live streaming and the high level of interaction between host (sales representative) and the viewers (prospective costumer). The researchers have successfully identified several account that shown considerable activity in live streaming commerce, there are: Aerostreet and Oxone represented large-scale company, Moslem Limited and Naruto Cetar represented MSMEs. Another considerarion is store rating. TikTok evaluates store performance using three key metrics, including product satisfaction, shipping efficiency, and customer service quality.     </w:t>
      </w:r>
    </w:p>
    <w:p w14:paraId="3125ADC1" w14:textId="77777777" w:rsidR="00AB5ED2" w:rsidRPr="006068D0" w:rsidRDefault="00AB5ED2" w:rsidP="006068D0">
      <w:pPr>
        <w:ind w:firstLine="720"/>
        <w:jc w:val="both"/>
        <w:rPr>
          <w:rFonts w:ascii="Calibri" w:eastAsia="Calibri" w:hAnsi="Calibri" w:cs="Calibri"/>
          <w:sz w:val="22"/>
          <w:szCs w:val="22"/>
          <w:lang w:val="en-ID"/>
        </w:rPr>
      </w:pPr>
    </w:p>
    <w:p w14:paraId="31B24040" w14:textId="77777777" w:rsidR="00AB5ED2" w:rsidRPr="006068D0" w:rsidRDefault="006068D0" w:rsidP="00AB5ED2">
      <w:pPr>
        <w:jc w:val="center"/>
        <w:rPr>
          <w:rFonts w:ascii="Calibri" w:eastAsia="Calibri" w:hAnsi="Calibri" w:cs="Calibri"/>
          <w:bCs/>
          <w:lang w:val="en-ID"/>
        </w:rPr>
      </w:pPr>
      <w:r w:rsidRPr="006068D0">
        <w:rPr>
          <w:rFonts w:ascii="Calibri" w:eastAsia="Calibri" w:hAnsi="Calibri" w:cs="Calibri"/>
          <w:sz w:val="22"/>
          <w:szCs w:val="22"/>
          <w:lang w:val="en-ID"/>
        </w:rPr>
        <w:t xml:space="preserve">  </w:t>
      </w:r>
      <w:r w:rsidR="00AB5ED2" w:rsidRPr="006068D0">
        <w:rPr>
          <w:rFonts w:ascii="Calibri" w:eastAsia="Calibri" w:hAnsi="Calibri" w:cs="Calibri"/>
          <w:bCs/>
          <w:lang w:val="en-ID"/>
        </w:rPr>
        <w:t>Table 1. Store Rating Table</w:t>
      </w:r>
    </w:p>
    <w:tbl>
      <w:tblPr>
        <w:tblW w:w="9290" w:type="dxa"/>
        <w:tblCellMar>
          <w:top w:w="53" w:type="dxa"/>
          <w:left w:w="106" w:type="dxa"/>
          <w:right w:w="56" w:type="dxa"/>
        </w:tblCellMar>
        <w:tblLook w:val="04A0" w:firstRow="1" w:lastRow="0" w:firstColumn="1" w:lastColumn="0" w:noHBand="0" w:noVBand="1"/>
      </w:tblPr>
      <w:tblGrid>
        <w:gridCol w:w="1596"/>
        <w:gridCol w:w="1705"/>
        <w:gridCol w:w="1097"/>
        <w:gridCol w:w="2134"/>
        <w:gridCol w:w="1488"/>
        <w:gridCol w:w="1270"/>
      </w:tblGrid>
      <w:tr w:rsidR="006068D0" w:rsidRPr="006068D0" w14:paraId="434A0DBD" w14:textId="77777777" w:rsidTr="00C50371">
        <w:trPr>
          <w:trHeight w:val="302"/>
        </w:trPr>
        <w:tc>
          <w:tcPr>
            <w:tcW w:w="1596" w:type="dxa"/>
            <w:tcBorders>
              <w:top w:val="single" w:sz="4" w:space="0" w:color="000000"/>
              <w:left w:val="single" w:sz="4" w:space="0" w:color="000000"/>
              <w:bottom w:val="single" w:sz="4" w:space="0" w:color="000000"/>
              <w:right w:val="single" w:sz="4" w:space="0" w:color="000000"/>
            </w:tcBorders>
          </w:tcPr>
          <w:p w14:paraId="254AF70A"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b/>
                <w:sz w:val="22"/>
                <w:szCs w:val="22"/>
                <w:lang w:val="en-ID"/>
              </w:rPr>
              <w:t xml:space="preserve">Store </w:t>
            </w:r>
          </w:p>
        </w:tc>
        <w:tc>
          <w:tcPr>
            <w:tcW w:w="1705" w:type="dxa"/>
            <w:tcBorders>
              <w:top w:val="single" w:sz="4" w:space="0" w:color="000000"/>
              <w:left w:val="single" w:sz="4" w:space="0" w:color="000000"/>
              <w:bottom w:val="single" w:sz="4" w:space="0" w:color="000000"/>
              <w:right w:val="single" w:sz="4" w:space="0" w:color="000000"/>
            </w:tcBorders>
          </w:tcPr>
          <w:p w14:paraId="47F402DD"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b/>
                <w:sz w:val="22"/>
                <w:szCs w:val="22"/>
                <w:lang w:val="en-ID"/>
              </w:rPr>
              <w:t xml:space="preserve">Followers </w:t>
            </w:r>
          </w:p>
        </w:tc>
        <w:tc>
          <w:tcPr>
            <w:tcW w:w="1097" w:type="dxa"/>
            <w:tcBorders>
              <w:top w:val="single" w:sz="4" w:space="0" w:color="000000"/>
              <w:left w:val="single" w:sz="4" w:space="0" w:color="000000"/>
              <w:bottom w:val="single" w:sz="4" w:space="0" w:color="000000"/>
              <w:right w:val="single" w:sz="4" w:space="0" w:color="000000"/>
            </w:tcBorders>
          </w:tcPr>
          <w:p w14:paraId="771EB604"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b/>
                <w:sz w:val="22"/>
                <w:szCs w:val="22"/>
                <w:lang w:val="en-ID"/>
              </w:rPr>
              <w:t xml:space="preserve">Sold </w:t>
            </w:r>
          </w:p>
        </w:tc>
        <w:tc>
          <w:tcPr>
            <w:tcW w:w="2134" w:type="dxa"/>
            <w:tcBorders>
              <w:top w:val="single" w:sz="4" w:space="0" w:color="000000"/>
              <w:left w:val="single" w:sz="4" w:space="0" w:color="000000"/>
              <w:bottom w:val="single" w:sz="4" w:space="0" w:color="000000"/>
              <w:right w:val="single" w:sz="4" w:space="0" w:color="000000"/>
            </w:tcBorders>
          </w:tcPr>
          <w:p w14:paraId="7039C092"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b/>
                <w:sz w:val="22"/>
                <w:szCs w:val="22"/>
                <w:lang w:val="en-ID"/>
              </w:rPr>
              <w:t xml:space="preserve">Store Rating </w:t>
            </w:r>
          </w:p>
        </w:tc>
        <w:tc>
          <w:tcPr>
            <w:tcW w:w="1488" w:type="dxa"/>
            <w:tcBorders>
              <w:top w:val="single" w:sz="4" w:space="0" w:color="000000"/>
              <w:left w:val="single" w:sz="4" w:space="0" w:color="000000"/>
              <w:bottom w:val="single" w:sz="4" w:space="0" w:color="000000"/>
              <w:right w:val="single" w:sz="4" w:space="0" w:color="000000"/>
            </w:tcBorders>
          </w:tcPr>
          <w:p w14:paraId="729D8A76"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b/>
                <w:sz w:val="22"/>
                <w:szCs w:val="22"/>
                <w:lang w:val="en-ID"/>
              </w:rPr>
              <w:t xml:space="preserve">Type </w:t>
            </w:r>
          </w:p>
        </w:tc>
        <w:tc>
          <w:tcPr>
            <w:tcW w:w="1270" w:type="dxa"/>
            <w:tcBorders>
              <w:top w:val="single" w:sz="4" w:space="0" w:color="000000"/>
              <w:left w:val="single" w:sz="4" w:space="0" w:color="000000"/>
              <w:bottom w:val="single" w:sz="4" w:space="0" w:color="000000"/>
              <w:right w:val="single" w:sz="4" w:space="0" w:color="000000"/>
            </w:tcBorders>
          </w:tcPr>
          <w:p w14:paraId="20D5C096"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b/>
                <w:sz w:val="22"/>
                <w:szCs w:val="22"/>
                <w:lang w:val="en-ID"/>
              </w:rPr>
              <w:t xml:space="preserve">Categories </w:t>
            </w:r>
          </w:p>
        </w:tc>
      </w:tr>
      <w:tr w:rsidR="006068D0" w:rsidRPr="006068D0" w14:paraId="3D6747AC" w14:textId="77777777" w:rsidTr="00C50371">
        <w:trPr>
          <w:trHeight w:val="888"/>
        </w:trPr>
        <w:tc>
          <w:tcPr>
            <w:tcW w:w="1596" w:type="dxa"/>
            <w:tcBorders>
              <w:top w:val="single" w:sz="4" w:space="0" w:color="000000"/>
              <w:left w:val="single" w:sz="4" w:space="0" w:color="000000"/>
              <w:bottom w:val="single" w:sz="4" w:space="0" w:color="000000"/>
              <w:right w:val="single" w:sz="4" w:space="0" w:color="000000"/>
            </w:tcBorders>
          </w:tcPr>
          <w:p w14:paraId="0AFDDDEF"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Aerostreet </w:t>
            </w:r>
          </w:p>
        </w:tc>
        <w:tc>
          <w:tcPr>
            <w:tcW w:w="1705" w:type="dxa"/>
            <w:tcBorders>
              <w:top w:val="single" w:sz="4" w:space="0" w:color="000000"/>
              <w:left w:val="single" w:sz="4" w:space="0" w:color="000000"/>
              <w:bottom w:val="single" w:sz="4" w:space="0" w:color="000000"/>
              <w:right w:val="single" w:sz="4" w:space="0" w:color="000000"/>
            </w:tcBorders>
          </w:tcPr>
          <w:p w14:paraId="4837DE3C"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1.7 M </w:t>
            </w:r>
          </w:p>
        </w:tc>
        <w:tc>
          <w:tcPr>
            <w:tcW w:w="1097" w:type="dxa"/>
            <w:tcBorders>
              <w:top w:val="single" w:sz="4" w:space="0" w:color="000000"/>
              <w:left w:val="single" w:sz="4" w:space="0" w:color="000000"/>
              <w:bottom w:val="single" w:sz="4" w:space="0" w:color="000000"/>
              <w:right w:val="single" w:sz="4" w:space="0" w:color="000000"/>
            </w:tcBorders>
          </w:tcPr>
          <w:p w14:paraId="2255776B"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1.1M  </w:t>
            </w:r>
          </w:p>
        </w:tc>
        <w:tc>
          <w:tcPr>
            <w:tcW w:w="2134" w:type="dxa"/>
            <w:tcBorders>
              <w:top w:val="single" w:sz="4" w:space="0" w:color="000000"/>
              <w:left w:val="single" w:sz="4" w:space="0" w:color="000000"/>
              <w:bottom w:val="single" w:sz="4" w:space="0" w:color="000000"/>
              <w:right w:val="single" w:sz="4" w:space="0" w:color="000000"/>
            </w:tcBorders>
          </w:tcPr>
          <w:p w14:paraId="43D3129F"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4.9 /5.0 </w:t>
            </w:r>
          </w:p>
          <w:p w14:paraId="137E33EF"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Higher than 97% of similar store </w:t>
            </w:r>
          </w:p>
        </w:tc>
        <w:tc>
          <w:tcPr>
            <w:tcW w:w="1488" w:type="dxa"/>
            <w:tcBorders>
              <w:top w:val="single" w:sz="4" w:space="0" w:color="000000"/>
              <w:left w:val="single" w:sz="4" w:space="0" w:color="000000"/>
              <w:bottom w:val="single" w:sz="4" w:space="0" w:color="000000"/>
              <w:right w:val="single" w:sz="4" w:space="0" w:color="000000"/>
            </w:tcBorders>
          </w:tcPr>
          <w:p w14:paraId="6B9B06F4"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Company </w:t>
            </w:r>
          </w:p>
        </w:tc>
        <w:tc>
          <w:tcPr>
            <w:tcW w:w="1270" w:type="dxa"/>
            <w:tcBorders>
              <w:top w:val="single" w:sz="4" w:space="0" w:color="000000"/>
              <w:left w:val="single" w:sz="4" w:space="0" w:color="000000"/>
              <w:bottom w:val="single" w:sz="4" w:space="0" w:color="000000"/>
              <w:right w:val="single" w:sz="4" w:space="0" w:color="000000"/>
            </w:tcBorders>
          </w:tcPr>
          <w:p w14:paraId="3566A225"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Fashion </w:t>
            </w:r>
          </w:p>
        </w:tc>
      </w:tr>
      <w:tr w:rsidR="006068D0" w:rsidRPr="006068D0" w14:paraId="660038F2" w14:textId="77777777" w:rsidTr="00C50371">
        <w:trPr>
          <w:trHeight w:val="890"/>
        </w:trPr>
        <w:tc>
          <w:tcPr>
            <w:tcW w:w="1596" w:type="dxa"/>
            <w:tcBorders>
              <w:top w:val="single" w:sz="4" w:space="0" w:color="000000"/>
              <w:left w:val="single" w:sz="4" w:space="0" w:color="000000"/>
              <w:bottom w:val="single" w:sz="4" w:space="0" w:color="000000"/>
              <w:right w:val="single" w:sz="4" w:space="0" w:color="000000"/>
            </w:tcBorders>
          </w:tcPr>
          <w:p w14:paraId="3E357058"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Moslem </w:t>
            </w:r>
          </w:p>
          <w:p w14:paraId="2323B829"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Limited </w:t>
            </w:r>
          </w:p>
        </w:tc>
        <w:tc>
          <w:tcPr>
            <w:tcW w:w="1705" w:type="dxa"/>
            <w:tcBorders>
              <w:top w:val="single" w:sz="4" w:space="0" w:color="000000"/>
              <w:left w:val="single" w:sz="4" w:space="0" w:color="000000"/>
              <w:bottom w:val="single" w:sz="4" w:space="0" w:color="000000"/>
              <w:right w:val="single" w:sz="4" w:space="0" w:color="000000"/>
            </w:tcBorders>
          </w:tcPr>
          <w:p w14:paraId="2C5CCEB8"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81.7K </w:t>
            </w:r>
          </w:p>
        </w:tc>
        <w:tc>
          <w:tcPr>
            <w:tcW w:w="1097" w:type="dxa"/>
            <w:tcBorders>
              <w:top w:val="single" w:sz="4" w:space="0" w:color="000000"/>
              <w:left w:val="single" w:sz="4" w:space="0" w:color="000000"/>
              <w:bottom w:val="single" w:sz="4" w:space="0" w:color="000000"/>
              <w:right w:val="single" w:sz="4" w:space="0" w:color="000000"/>
            </w:tcBorders>
          </w:tcPr>
          <w:p w14:paraId="7F7329CE"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38.1 K  </w:t>
            </w:r>
          </w:p>
        </w:tc>
        <w:tc>
          <w:tcPr>
            <w:tcW w:w="2134" w:type="dxa"/>
            <w:tcBorders>
              <w:top w:val="single" w:sz="4" w:space="0" w:color="000000"/>
              <w:left w:val="single" w:sz="4" w:space="0" w:color="000000"/>
              <w:bottom w:val="single" w:sz="4" w:space="0" w:color="000000"/>
              <w:right w:val="single" w:sz="4" w:space="0" w:color="000000"/>
            </w:tcBorders>
          </w:tcPr>
          <w:p w14:paraId="0017B030"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4.8 / 5.0 </w:t>
            </w:r>
          </w:p>
          <w:p w14:paraId="27CEC7BA"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Higher than 94% of similar store </w:t>
            </w:r>
          </w:p>
        </w:tc>
        <w:tc>
          <w:tcPr>
            <w:tcW w:w="1488" w:type="dxa"/>
            <w:tcBorders>
              <w:top w:val="single" w:sz="4" w:space="0" w:color="000000"/>
              <w:left w:val="single" w:sz="4" w:space="0" w:color="000000"/>
              <w:bottom w:val="single" w:sz="4" w:space="0" w:color="000000"/>
              <w:right w:val="single" w:sz="4" w:space="0" w:color="000000"/>
            </w:tcBorders>
          </w:tcPr>
          <w:p w14:paraId="42D0FD71"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MSMes (UMKM) </w:t>
            </w:r>
          </w:p>
        </w:tc>
        <w:tc>
          <w:tcPr>
            <w:tcW w:w="1270" w:type="dxa"/>
            <w:tcBorders>
              <w:top w:val="single" w:sz="4" w:space="0" w:color="000000"/>
              <w:left w:val="single" w:sz="4" w:space="0" w:color="000000"/>
              <w:bottom w:val="single" w:sz="4" w:space="0" w:color="000000"/>
              <w:right w:val="single" w:sz="4" w:space="0" w:color="000000"/>
            </w:tcBorders>
          </w:tcPr>
          <w:p w14:paraId="6697BB7B"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Fashion </w:t>
            </w:r>
          </w:p>
        </w:tc>
      </w:tr>
      <w:tr w:rsidR="006068D0" w:rsidRPr="006068D0" w14:paraId="1981CDDC" w14:textId="77777777" w:rsidTr="00C50371">
        <w:trPr>
          <w:trHeight w:val="889"/>
        </w:trPr>
        <w:tc>
          <w:tcPr>
            <w:tcW w:w="1596" w:type="dxa"/>
            <w:tcBorders>
              <w:top w:val="single" w:sz="4" w:space="0" w:color="000000"/>
              <w:left w:val="single" w:sz="4" w:space="0" w:color="000000"/>
              <w:bottom w:val="single" w:sz="4" w:space="0" w:color="000000"/>
              <w:right w:val="single" w:sz="4" w:space="0" w:color="000000"/>
            </w:tcBorders>
          </w:tcPr>
          <w:p w14:paraId="31957EE5"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Oxone </w:t>
            </w:r>
          </w:p>
        </w:tc>
        <w:tc>
          <w:tcPr>
            <w:tcW w:w="1705" w:type="dxa"/>
            <w:tcBorders>
              <w:top w:val="single" w:sz="4" w:space="0" w:color="000000"/>
              <w:left w:val="single" w:sz="4" w:space="0" w:color="000000"/>
              <w:bottom w:val="single" w:sz="4" w:space="0" w:color="000000"/>
              <w:right w:val="single" w:sz="4" w:space="0" w:color="000000"/>
            </w:tcBorders>
          </w:tcPr>
          <w:p w14:paraId="4F31EF02"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74.9K </w:t>
            </w:r>
          </w:p>
        </w:tc>
        <w:tc>
          <w:tcPr>
            <w:tcW w:w="1097" w:type="dxa"/>
            <w:tcBorders>
              <w:top w:val="single" w:sz="4" w:space="0" w:color="000000"/>
              <w:left w:val="single" w:sz="4" w:space="0" w:color="000000"/>
              <w:bottom w:val="single" w:sz="4" w:space="0" w:color="000000"/>
              <w:right w:val="single" w:sz="4" w:space="0" w:color="000000"/>
            </w:tcBorders>
          </w:tcPr>
          <w:p w14:paraId="49AAF512"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573 </w:t>
            </w:r>
          </w:p>
        </w:tc>
        <w:tc>
          <w:tcPr>
            <w:tcW w:w="2134" w:type="dxa"/>
            <w:tcBorders>
              <w:top w:val="single" w:sz="4" w:space="0" w:color="000000"/>
              <w:left w:val="single" w:sz="4" w:space="0" w:color="000000"/>
              <w:bottom w:val="single" w:sz="4" w:space="0" w:color="000000"/>
              <w:right w:val="single" w:sz="4" w:space="0" w:color="000000"/>
            </w:tcBorders>
          </w:tcPr>
          <w:p w14:paraId="3E88891C"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4.3/ 5.0 </w:t>
            </w:r>
          </w:p>
          <w:p w14:paraId="1700BB49"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Higher than 83% of similar store </w:t>
            </w:r>
          </w:p>
        </w:tc>
        <w:tc>
          <w:tcPr>
            <w:tcW w:w="1488" w:type="dxa"/>
            <w:tcBorders>
              <w:top w:val="single" w:sz="4" w:space="0" w:color="000000"/>
              <w:left w:val="single" w:sz="4" w:space="0" w:color="000000"/>
              <w:bottom w:val="single" w:sz="4" w:space="0" w:color="000000"/>
              <w:right w:val="single" w:sz="4" w:space="0" w:color="000000"/>
            </w:tcBorders>
          </w:tcPr>
          <w:p w14:paraId="121D9745"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Company </w:t>
            </w:r>
          </w:p>
        </w:tc>
        <w:tc>
          <w:tcPr>
            <w:tcW w:w="1270" w:type="dxa"/>
            <w:tcBorders>
              <w:top w:val="single" w:sz="4" w:space="0" w:color="000000"/>
              <w:left w:val="single" w:sz="4" w:space="0" w:color="000000"/>
              <w:bottom w:val="single" w:sz="4" w:space="0" w:color="000000"/>
              <w:right w:val="single" w:sz="4" w:space="0" w:color="000000"/>
            </w:tcBorders>
          </w:tcPr>
          <w:p w14:paraId="1440EAF1"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Household Product </w:t>
            </w:r>
          </w:p>
        </w:tc>
      </w:tr>
      <w:tr w:rsidR="006068D0" w:rsidRPr="006068D0" w14:paraId="1669DDAC" w14:textId="77777777" w:rsidTr="00C50371">
        <w:trPr>
          <w:trHeight w:val="890"/>
        </w:trPr>
        <w:tc>
          <w:tcPr>
            <w:tcW w:w="1596" w:type="dxa"/>
            <w:tcBorders>
              <w:top w:val="single" w:sz="4" w:space="0" w:color="000000"/>
              <w:left w:val="single" w:sz="4" w:space="0" w:color="000000"/>
              <w:bottom w:val="single" w:sz="4" w:space="0" w:color="000000"/>
              <w:right w:val="single" w:sz="4" w:space="0" w:color="000000"/>
            </w:tcBorders>
          </w:tcPr>
          <w:p w14:paraId="23C32E24"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lastRenderedPageBreak/>
              <w:t xml:space="preserve">Sitituppyreal a.k.a Naruto Cetar </w:t>
            </w:r>
          </w:p>
        </w:tc>
        <w:tc>
          <w:tcPr>
            <w:tcW w:w="1705" w:type="dxa"/>
            <w:tcBorders>
              <w:top w:val="single" w:sz="4" w:space="0" w:color="000000"/>
              <w:left w:val="single" w:sz="4" w:space="0" w:color="000000"/>
              <w:bottom w:val="single" w:sz="4" w:space="0" w:color="000000"/>
              <w:right w:val="single" w:sz="4" w:space="0" w:color="000000"/>
            </w:tcBorders>
          </w:tcPr>
          <w:p w14:paraId="11CDDDEB"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19.4K  </w:t>
            </w:r>
          </w:p>
        </w:tc>
        <w:tc>
          <w:tcPr>
            <w:tcW w:w="1097" w:type="dxa"/>
            <w:tcBorders>
              <w:top w:val="single" w:sz="4" w:space="0" w:color="000000"/>
              <w:left w:val="single" w:sz="4" w:space="0" w:color="000000"/>
              <w:bottom w:val="single" w:sz="4" w:space="0" w:color="000000"/>
              <w:right w:val="single" w:sz="4" w:space="0" w:color="000000"/>
            </w:tcBorders>
          </w:tcPr>
          <w:p w14:paraId="21C734C0"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10.9K </w:t>
            </w:r>
          </w:p>
        </w:tc>
        <w:tc>
          <w:tcPr>
            <w:tcW w:w="2134" w:type="dxa"/>
            <w:tcBorders>
              <w:top w:val="single" w:sz="4" w:space="0" w:color="000000"/>
              <w:left w:val="single" w:sz="4" w:space="0" w:color="000000"/>
              <w:bottom w:val="single" w:sz="4" w:space="0" w:color="000000"/>
              <w:right w:val="single" w:sz="4" w:space="0" w:color="000000"/>
            </w:tcBorders>
          </w:tcPr>
          <w:p w14:paraId="723F5BF3"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3,6/5.0 </w:t>
            </w:r>
          </w:p>
          <w:p w14:paraId="03B76DF2"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Higher than 66% of similar store </w:t>
            </w:r>
          </w:p>
        </w:tc>
        <w:tc>
          <w:tcPr>
            <w:tcW w:w="1488" w:type="dxa"/>
            <w:tcBorders>
              <w:top w:val="single" w:sz="4" w:space="0" w:color="000000"/>
              <w:left w:val="single" w:sz="4" w:space="0" w:color="000000"/>
              <w:bottom w:val="single" w:sz="4" w:space="0" w:color="000000"/>
              <w:right w:val="single" w:sz="4" w:space="0" w:color="000000"/>
            </w:tcBorders>
          </w:tcPr>
          <w:p w14:paraId="2F018959"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MSMes (UMKM) </w:t>
            </w:r>
          </w:p>
        </w:tc>
        <w:tc>
          <w:tcPr>
            <w:tcW w:w="1270" w:type="dxa"/>
            <w:tcBorders>
              <w:top w:val="single" w:sz="4" w:space="0" w:color="000000"/>
              <w:left w:val="single" w:sz="4" w:space="0" w:color="000000"/>
              <w:bottom w:val="single" w:sz="4" w:space="0" w:color="000000"/>
              <w:right w:val="single" w:sz="4" w:space="0" w:color="000000"/>
            </w:tcBorders>
          </w:tcPr>
          <w:p w14:paraId="68FEEA28" w14:textId="77777777" w:rsidR="006068D0" w:rsidRPr="006068D0" w:rsidRDefault="006068D0" w:rsidP="006068D0">
            <w:pPr>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Household Product </w:t>
            </w:r>
          </w:p>
        </w:tc>
      </w:tr>
    </w:tbl>
    <w:p w14:paraId="512457A7" w14:textId="4A8E6FF2" w:rsidR="006068D0" w:rsidRPr="008B6717" w:rsidRDefault="00AB5ED2" w:rsidP="00AB5ED2">
      <w:pPr>
        <w:jc w:val="center"/>
        <w:rPr>
          <w:rFonts w:ascii="Calibri" w:eastAsia="Calibri" w:hAnsi="Calibri" w:cs="Calibri"/>
          <w:lang w:val="en-ID"/>
        </w:rPr>
      </w:pPr>
      <w:r w:rsidRPr="008B6717">
        <w:rPr>
          <w:rFonts w:ascii="Calibri" w:eastAsia="Calibri" w:hAnsi="Calibri" w:cs="Calibri"/>
          <w:lang w:val="en-ID"/>
        </w:rPr>
        <w:t>Source: TikTok Shop, 2023</w:t>
      </w:r>
    </w:p>
    <w:p w14:paraId="4B6B343A" w14:textId="77777777" w:rsidR="00AB5ED2" w:rsidRPr="006068D0" w:rsidRDefault="00AB5ED2" w:rsidP="006068D0">
      <w:pPr>
        <w:jc w:val="both"/>
        <w:rPr>
          <w:rFonts w:ascii="Calibri" w:eastAsia="Calibri" w:hAnsi="Calibri" w:cs="Calibri"/>
          <w:sz w:val="22"/>
          <w:szCs w:val="22"/>
          <w:lang w:val="en-ID"/>
        </w:rPr>
      </w:pPr>
    </w:p>
    <w:p w14:paraId="0AA3B35E" w14:textId="26AC858E" w:rsidR="006068D0" w:rsidRPr="006068D0" w:rsidRDefault="006068D0" w:rsidP="00FD56A9">
      <w:pPr>
        <w:ind w:firstLine="720"/>
        <w:jc w:val="both"/>
        <w:rPr>
          <w:rFonts w:ascii="Calibri" w:eastAsia="Calibri" w:hAnsi="Calibri" w:cs="Calibri"/>
          <w:sz w:val="22"/>
          <w:szCs w:val="22"/>
          <w:lang w:val="en-ID"/>
        </w:rPr>
      </w:pPr>
      <w:r w:rsidRPr="006068D0">
        <w:rPr>
          <w:rFonts w:ascii="Calibri" w:eastAsia="Calibri" w:hAnsi="Calibri" w:cs="Calibri"/>
          <w:sz w:val="22"/>
          <w:szCs w:val="22"/>
          <w:lang w:val="en-ID"/>
        </w:rPr>
        <w:t xml:space="preserve">The subsequent stage is the organization phase, wherein researchers classify phrases and sentences based on delivery methods in public speaking, as outlined by (Jaffe, 2016). This step is undertaken in order to enhance the depth of analysis. This step is undertaken in order to enhance the depth of analysis. Therefore, it is necessary to complement this phase with other data that can provide contextual information for the research. Specifically, this includes factors such as physical appearance, non-verbal cues such as gestures, vocal characteristics such as voice quality, intonation, and speaking speed. These factors contribute to the complexity of this research, which was conducted solely to collect data through digital-based text analysis. In order to enhance the accuracy of this research, we utilized a Samsung Voice Recorder and DecibelX to quantify the amplitude of the sound volume. Then, we initially transcribed an audio recording and subsequently counted the number of words spoken within a one-minute interval to measure the hosts’ speech rate.  The last phase involves summarizing to uncover the underlying contextual meaning of the explicit textual meaning that is prevalent in the digital realm. This phase is the concluding stage wherein communication styles and language variations are identified. </w:t>
      </w:r>
    </w:p>
    <w:p w14:paraId="292CE9B6" w14:textId="77777777" w:rsidR="00956820" w:rsidRDefault="00956820">
      <w:pPr>
        <w:jc w:val="both"/>
        <w:rPr>
          <w:rFonts w:ascii="Calibri" w:eastAsia="Calibri" w:hAnsi="Calibri" w:cs="Calibri"/>
          <w:b/>
          <w:sz w:val="22"/>
          <w:szCs w:val="22"/>
        </w:rPr>
      </w:pPr>
    </w:p>
    <w:p w14:paraId="3B0EAB8E" w14:textId="434F5337" w:rsidR="00956820" w:rsidRDefault="0012128B">
      <w:pPr>
        <w:jc w:val="both"/>
        <w:rPr>
          <w:rFonts w:ascii="Calibri" w:eastAsia="Calibri" w:hAnsi="Calibri" w:cs="Calibri"/>
          <w:b/>
          <w:sz w:val="22"/>
          <w:szCs w:val="22"/>
        </w:rPr>
      </w:pPr>
      <w:r>
        <w:rPr>
          <w:rFonts w:ascii="Calibri" w:eastAsia="Calibri" w:hAnsi="Calibri" w:cs="Calibri"/>
          <w:b/>
          <w:sz w:val="22"/>
          <w:szCs w:val="22"/>
        </w:rPr>
        <w:t>RESULTS AND DISCUSSION</w:t>
      </w:r>
    </w:p>
    <w:p w14:paraId="769C652C" w14:textId="77777777" w:rsidR="00956820" w:rsidRDefault="00FD56A9" w:rsidP="00FD56A9">
      <w:pPr>
        <w:ind w:firstLine="720"/>
        <w:jc w:val="both"/>
        <w:rPr>
          <w:rFonts w:ascii="Calibri" w:eastAsia="Calibri" w:hAnsi="Calibri" w:cs="Calibri"/>
          <w:sz w:val="22"/>
          <w:szCs w:val="22"/>
        </w:rPr>
      </w:pPr>
      <w:r w:rsidRPr="00FD56A9">
        <w:rPr>
          <w:rFonts w:ascii="Calibri" w:eastAsia="Calibri" w:hAnsi="Calibri" w:cs="Calibri"/>
          <w:sz w:val="22"/>
          <w:szCs w:val="22"/>
        </w:rPr>
        <w:t>Tik Tok live Streaming Commece has become a popular new media and a new cultural purchasing form due to the advancement of technology. TikTok, unlike conventional social media, requires an effective marketing media management strategy, and it must also prioritize the host's communication skills. Due to the two-way nature of social media, the host must not only offer the product but also command the audience to remain standing and participate in the discussion of the product being offered. The host must have excellent public speaking skills, on the other hand he also needs to have strong persuasion skills. Therefore, exploration of communication styles and variations in the language they speak is important to research.</w:t>
      </w:r>
    </w:p>
    <w:p w14:paraId="4B890EE9" w14:textId="77777777" w:rsidR="00FD56A9" w:rsidRDefault="00FD56A9" w:rsidP="00FD56A9">
      <w:pPr>
        <w:ind w:firstLine="720"/>
        <w:jc w:val="both"/>
        <w:rPr>
          <w:rFonts w:ascii="Calibri" w:eastAsia="Calibri" w:hAnsi="Calibri" w:cs="Calibri"/>
          <w:sz w:val="22"/>
          <w:szCs w:val="22"/>
        </w:rPr>
      </w:pPr>
    </w:p>
    <w:p w14:paraId="029D7E41" w14:textId="77777777" w:rsidR="00FD56A9" w:rsidRDefault="00FD56A9" w:rsidP="00FD56A9">
      <w:pPr>
        <w:jc w:val="both"/>
        <w:rPr>
          <w:rFonts w:ascii="Calibri" w:eastAsia="Calibri" w:hAnsi="Calibri" w:cs="Calibri"/>
          <w:b/>
          <w:bCs/>
          <w:sz w:val="22"/>
          <w:szCs w:val="22"/>
        </w:rPr>
      </w:pPr>
      <w:r w:rsidRPr="00FD56A9">
        <w:rPr>
          <w:rFonts w:ascii="Calibri" w:eastAsia="Calibri" w:hAnsi="Calibri" w:cs="Calibri"/>
          <w:b/>
          <w:bCs/>
          <w:sz w:val="22"/>
          <w:szCs w:val="22"/>
        </w:rPr>
        <w:t>RQ1:  What style of communication that the hosts used in engaging viewers into discussion?</w:t>
      </w:r>
    </w:p>
    <w:p w14:paraId="1A44DD8C" w14:textId="77777777" w:rsidR="009952CC" w:rsidRDefault="00FD56A9" w:rsidP="00FD56A9">
      <w:pPr>
        <w:jc w:val="both"/>
        <w:rPr>
          <w:rFonts w:ascii="Calibri" w:eastAsia="Calibri" w:hAnsi="Calibri" w:cs="Calibri"/>
          <w:sz w:val="22"/>
          <w:szCs w:val="22"/>
        </w:rPr>
      </w:pPr>
      <w:r w:rsidRPr="00FD56A9">
        <w:rPr>
          <w:rFonts w:ascii="Calibri" w:eastAsia="Calibri" w:hAnsi="Calibri" w:cs="Calibri"/>
          <w:sz w:val="22"/>
          <w:szCs w:val="22"/>
        </w:rPr>
        <w:t xml:space="preserve"> </w:t>
      </w:r>
    </w:p>
    <w:p w14:paraId="6C3D392F" w14:textId="1F54FB99" w:rsidR="00FD56A9" w:rsidRPr="009952CC" w:rsidRDefault="009952CC" w:rsidP="00FD56A9">
      <w:pPr>
        <w:jc w:val="both"/>
        <w:rPr>
          <w:rFonts w:ascii="Calibri" w:eastAsia="Calibri" w:hAnsi="Calibri" w:cs="Calibri"/>
          <w:b/>
          <w:bCs/>
          <w:sz w:val="22"/>
          <w:szCs w:val="22"/>
        </w:rPr>
      </w:pPr>
      <w:r w:rsidRPr="009952CC">
        <w:rPr>
          <w:rFonts w:ascii="Calibri" w:eastAsia="Calibri" w:hAnsi="Calibri" w:cs="Calibri"/>
          <w:b/>
          <w:bCs/>
          <w:sz w:val="22"/>
          <w:szCs w:val="22"/>
        </w:rPr>
        <w:t>Aerostret</w:t>
      </w:r>
      <w:r w:rsidR="00FD56A9" w:rsidRPr="009952CC">
        <w:rPr>
          <w:rFonts w:ascii="Calibri" w:eastAsia="Calibri" w:hAnsi="Calibri" w:cs="Calibri"/>
          <w:b/>
          <w:bCs/>
          <w:sz w:val="22"/>
          <w:szCs w:val="22"/>
        </w:rPr>
        <w:t xml:space="preserve"> </w:t>
      </w:r>
    </w:p>
    <w:p w14:paraId="1D6EB63D" w14:textId="03C7BA49" w:rsidR="00FD56A9" w:rsidRDefault="00FD56A9" w:rsidP="00FD56A9">
      <w:pPr>
        <w:ind w:firstLine="720"/>
        <w:jc w:val="both"/>
        <w:rPr>
          <w:rFonts w:ascii="Calibri" w:eastAsia="Calibri" w:hAnsi="Calibri" w:cs="Calibri"/>
          <w:sz w:val="22"/>
          <w:szCs w:val="22"/>
        </w:rPr>
      </w:pPr>
      <w:r w:rsidRPr="00FD56A9">
        <w:rPr>
          <w:rFonts w:ascii="Calibri" w:eastAsia="Calibri" w:hAnsi="Calibri" w:cs="Calibri"/>
          <w:sz w:val="22"/>
          <w:szCs w:val="22"/>
        </w:rPr>
        <w:t xml:space="preserve">Aerostreet was established in 2015. It officially under PT. Adco Pakis Mas and located in Klaten, Jawa Tengah. The business first focused on selling school shoes.  During that period, a total of 12,000 pairs of school shoes were manufactured. At that time, the marketing strategy was still conventionally relied on retail, wholesale, and markets. Aerostreet's business is growing rapidly and innovating many shoe categories, including school, sports, casual, and formal footwear (Elmirasari &amp; Rachman, 2021). Gradually, Aerostreet also expanded its business by selling apparel. The marketing strategy was also changed into digital, from marketplace to social commerce and succeeded in penetrating the global market (Makmun, 2021; Triana, 2021). Rely on affordable prices, unique designs, and commendable quality, Aerostreet emerged as one of prominent hub for contemporary fashion among the youngsters. Aerostreet runs continuously for 24 hours on TikTok Live commerce, and every two hours, a new host takes over the live. The hosts of Aerostreet employ a range of strategies to ensure that shoppers remain actively engaged in discussion and refrain from diverting their attention to other stores. Aerostreet usually features a host and co-host. Host need to engage in promotional activities by informing products and sizes. While a co-host is working behind the scenes supported the main host to read queries from viewers. Beyond, co-host plays as a silence-breaking distraction. He is responsible for ringing the bell and teasing viewers with a time limit. Co-host helps the main host if she runs out of </w:t>
      </w:r>
      <w:r w:rsidRPr="00FD56A9">
        <w:rPr>
          <w:rFonts w:ascii="Calibri" w:eastAsia="Calibri" w:hAnsi="Calibri" w:cs="Calibri"/>
          <w:sz w:val="22"/>
          <w:szCs w:val="22"/>
        </w:rPr>
        <w:lastRenderedPageBreak/>
        <w:t xml:space="preserve">words or takes a breath. No pauses during the live. Conversations are typically conducted expeditiously, employing a rapid pace of speech characterized by minimal pauses.  </w:t>
      </w:r>
    </w:p>
    <w:p w14:paraId="61434F36" w14:textId="77777777" w:rsidR="00FD56A9" w:rsidRPr="00FD56A9" w:rsidRDefault="00FD56A9" w:rsidP="00FD56A9">
      <w:pPr>
        <w:jc w:val="both"/>
        <w:rPr>
          <w:rFonts w:ascii="Calibri" w:eastAsia="Calibri" w:hAnsi="Calibri" w:cs="Calibri"/>
          <w:sz w:val="22"/>
          <w:szCs w:val="22"/>
        </w:rPr>
      </w:pPr>
    </w:p>
    <w:p w14:paraId="7B3747A5" w14:textId="170313A5" w:rsidR="00FD56A9" w:rsidRPr="00FD56A9" w:rsidRDefault="00FD56A9" w:rsidP="00FD56A9">
      <w:pPr>
        <w:jc w:val="center"/>
        <w:rPr>
          <w:rFonts w:ascii="Calibri" w:eastAsia="Calibri" w:hAnsi="Calibri" w:cs="Calibri"/>
          <w:b/>
          <w:bCs/>
          <w:sz w:val="22"/>
          <w:szCs w:val="22"/>
        </w:rPr>
        <w:sectPr w:rsidR="00FD56A9" w:rsidRPr="00FD56A9">
          <w:headerReference w:type="default" r:id="rId12"/>
          <w:footerReference w:type="default" r:id="rId13"/>
          <w:headerReference w:type="first" r:id="rId14"/>
          <w:footerReference w:type="first" r:id="rId15"/>
          <w:pgSz w:w="11907" w:h="16840"/>
          <w:pgMar w:top="1701" w:right="1418" w:bottom="1701" w:left="1418" w:header="567" w:footer="567" w:gutter="0"/>
          <w:pgNumType w:start="1"/>
          <w:cols w:space="720"/>
          <w:titlePg/>
        </w:sectPr>
      </w:pPr>
      <w:r>
        <w:rPr>
          <w:rFonts w:ascii="Calibri" w:eastAsia="Calibri" w:hAnsi="Calibri" w:cs="Calibri"/>
          <w:b/>
          <w:bCs/>
          <w:noProof/>
          <w:sz w:val="22"/>
          <w:szCs w:val="22"/>
        </w:rPr>
        <w:drawing>
          <wp:inline distT="0" distB="0" distL="0" distR="0" wp14:anchorId="25B905B5" wp14:editId="25D2361A">
            <wp:extent cx="1609725" cy="28404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6236" cy="2851931"/>
                    </a:xfrm>
                    <a:prstGeom prst="rect">
                      <a:avLst/>
                    </a:prstGeom>
                    <a:noFill/>
                  </pic:spPr>
                </pic:pic>
              </a:graphicData>
            </a:graphic>
          </wp:inline>
        </w:drawing>
      </w:r>
    </w:p>
    <w:p w14:paraId="7EE41F98" w14:textId="0E054423" w:rsidR="009952CC" w:rsidRDefault="008B6717" w:rsidP="009952CC">
      <w:pPr>
        <w:jc w:val="center"/>
        <w:rPr>
          <w:rFonts w:ascii="Calibri" w:eastAsia="Calibri" w:hAnsi="Calibri" w:cs="Calibri"/>
          <w:bCs/>
        </w:rPr>
      </w:pPr>
      <w:r w:rsidRPr="008B6717">
        <w:rPr>
          <w:rFonts w:ascii="Calibri" w:eastAsia="Calibri" w:hAnsi="Calibri" w:cs="Calibri"/>
          <w:bCs/>
        </w:rPr>
        <w:t>Figure 1. Host of Aerostreet</w:t>
      </w:r>
    </w:p>
    <w:p w14:paraId="7B13B95E" w14:textId="22821099" w:rsidR="008B6717" w:rsidRPr="008B6717" w:rsidRDefault="008B6717" w:rsidP="009952CC">
      <w:pPr>
        <w:jc w:val="center"/>
        <w:rPr>
          <w:rFonts w:ascii="Calibri" w:eastAsia="Calibri" w:hAnsi="Calibri" w:cs="Calibri"/>
          <w:bCs/>
        </w:rPr>
      </w:pPr>
      <w:r>
        <w:rPr>
          <w:rFonts w:ascii="Calibri" w:eastAsia="Calibri" w:hAnsi="Calibri" w:cs="Calibri"/>
          <w:bCs/>
        </w:rPr>
        <w:t>(Source: TikTok, 2023)</w:t>
      </w:r>
    </w:p>
    <w:p w14:paraId="5B37FD82" w14:textId="77777777" w:rsidR="008B6717" w:rsidRDefault="008B6717" w:rsidP="009952CC">
      <w:pPr>
        <w:jc w:val="center"/>
        <w:rPr>
          <w:rFonts w:ascii="Calibri" w:eastAsia="Calibri" w:hAnsi="Calibri" w:cs="Calibri"/>
          <w:b/>
          <w:sz w:val="22"/>
          <w:szCs w:val="22"/>
        </w:rPr>
      </w:pPr>
    </w:p>
    <w:p w14:paraId="3F15E802" w14:textId="4F1B77CA" w:rsidR="009952CC" w:rsidRDefault="009952CC">
      <w:pPr>
        <w:jc w:val="both"/>
        <w:rPr>
          <w:rFonts w:ascii="Calibri" w:eastAsia="Calibri" w:hAnsi="Calibri" w:cs="Calibri"/>
          <w:bCs/>
          <w:i/>
          <w:iCs/>
          <w:sz w:val="22"/>
          <w:szCs w:val="22"/>
        </w:rPr>
      </w:pPr>
      <w:r w:rsidRPr="009952CC">
        <w:rPr>
          <w:rFonts w:ascii="Calibri" w:eastAsia="Calibri" w:hAnsi="Calibri" w:cs="Calibri"/>
          <w:b/>
          <w:sz w:val="22"/>
          <w:szCs w:val="22"/>
        </w:rPr>
        <w:t>Female Host:</w:t>
      </w:r>
      <w:r>
        <w:rPr>
          <w:rFonts w:ascii="Calibri" w:eastAsia="Calibri" w:hAnsi="Calibri" w:cs="Calibri"/>
          <w:bCs/>
          <w:i/>
          <w:iCs/>
          <w:sz w:val="22"/>
          <w:szCs w:val="22"/>
        </w:rPr>
        <w:t xml:space="preserve"> </w:t>
      </w:r>
      <w:r w:rsidRPr="009952CC">
        <w:rPr>
          <w:rFonts w:ascii="Calibri" w:eastAsia="Calibri" w:hAnsi="Calibri" w:cs="Calibri"/>
          <w:bCs/>
          <w:i/>
          <w:iCs/>
          <w:sz w:val="22"/>
          <w:szCs w:val="22"/>
        </w:rPr>
        <w:t xml:space="preserve">Untuk Coniver sama T-shirtnya random apa aja boleh/huuh/Coniver di Etalase delapan/Coniver di Etalase delapan/ tambahin satu T-shirt apa aja boleh/ tapi jangan long sleeve/ jangan oversize yah/  jangan long sleeve/ jangan oversize/ yang T-shirt regular aja/ mau tambah Zion boleh/  Mau tambah Corpo boleh/ Mau tambah Golden Samurai boleh/Mau tambahannya Kid Surya juga boleh/ langsung aja di charge/ di-gas-in aja yah/paket bundlingnya ada nih/yah/Kita ada paket bundling yang murah murah/banget yah kakak kakak yah/cepet yah/ Kak Toni minta di Massive lagi kak sis kyu/boleh/ Massive etalase enam/yang mau boleh banget yah/ aku spill-in ulang buat kamu/ bahannya canvas cakep banget yah/ warnanya perpaduan warna hitam sama putih aja/ outsolenya kita pasang menggunakan injectional/sudah pasti lentur/ super nyaman aman gak gampang jeboljebol/langsung di checkout/ langsung di payment/ sekarang juga/ eeeee kalian termasuk gak/kalian harus termasuk donk/ kalian kan warga Indonesia yang baik/ buruan guys ada paket bundling/ beli T-shirt sama sendal dapat harga sembilan puluh satu ribu aja/ kapan lagi lagi kapan lagi-lagi/ yuuuk buruan/ paymentnya sekarang drop aja/ ya/ boleh//   </w:t>
      </w:r>
    </w:p>
    <w:p w14:paraId="0D6B193B" w14:textId="77777777" w:rsidR="009952CC" w:rsidRDefault="009952CC">
      <w:pPr>
        <w:jc w:val="both"/>
        <w:rPr>
          <w:rFonts w:ascii="Calibri" w:eastAsia="Calibri" w:hAnsi="Calibri" w:cs="Calibri"/>
          <w:bCs/>
          <w:i/>
          <w:iCs/>
          <w:sz w:val="22"/>
          <w:szCs w:val="22"/>
        </w:rPr>
      </w:pPr>
    </w:p>
    <w:p w14:paraId="70A69F92" w14:textId="76D2330D" w:rsidR="00956820" w:rsidRPr="009952CC" w:rsidRDefault="009952CC">
      <w:pPr>
        <w:jc w:val="both"/>
        <w:rPr>
          <w:rFonts w:ascii="Calibri" w:eastAsia="Calibri" w:hAnsi="Calibri" w:cs="Calibri"/>
          <w:bCs/>
          <w:i/>
          <w:iCs/>
          <w:sz w:val="22"/>
          <w:szCs w:val="22"/>
        </w:rPr>
      </w:pPr>
      <w:r w:rsidRPr="009952CC">
        <w:rPr>
          <w:rFonts w:ascii="Calibri" w:eastAsia="Calibri" w:hAnsi="Calibri" w:cs="Calibri"/>
          <w:b/>
          <w:sz w:val="22"/>
          <w:szCs w:val="22"/>
        </w:rPr>
        <w:t>Male Host</w:t>
      </w:r>
      <w:r>
        <w:rPr>
          <w:rFonts w:ascii="Calibri" w:eastAsia="Calibri" w:hAnsi="Calibri" w:cs="Calibri"/>
          <w:bCs/>
          <w:i/>
          <w:iCs/>
          <w:sz w:val="22"/>
          <w:szCs w:val="22"/>
        </w:rPr>
        <w:t xml:space="preserve">: </w:t>
      </w:r>
      <w:r w:rsidRPr="009952CC">
        <w:rPr>
          <w:rFonts w:ascii="Calibri" w:eastAsia="Calibri" w:hAnsi="Calibri" w:cs="Calibri"/>
          <w:bCs/>
          <w:i/>
          <w:iCs/>
          <w:sz w:val="22"/>
          <w:szCs w:val="22"/>
        </w:rPr>
        <w:t>C</w:t>
      </w:r>
      <w:r w:rsidRPr="009952CC">
        <w:rPr>
          <w:rFonts w:ascii="Calibri" w:eastAsia="Calibri" w:hAnsi="Calibri" w:cs="Calibri"/>
          <w:bCs/>
          <w:i/>
          <w:iCs/>
          <w:sz w:val="22"/>
          <w:szCs w:val="22"/>
        </w:rPr>
        <w:t>ek ketuk diskonnya dan etalase atau di keranjang kuning kita/ bukan/ ke spill deh amanin size kamu/ke spill deh amanin/ buat ke spill/ buat kak manggul/basane ngomong jowo/ satu juta/ boleh/  Etalase dua puluh satu/kita ada Osaka yang full putih nih/Boleh/Osaka full putih deh kak/kamu/ boleh/Osa buat kak Mawar/pakai Osaka full putih boleh banget/ pakai di Osaka full putihnya kita/ bukan/ gimana kamu gak raba-raba dulu/Osaka full putih boleh banget/ pakai Osaka full putih/Cam on/ buat kamu yang mau CO/mau jalan jalan santai/boleh banget pakai Osaka ini/Dia itu bahannya mas kulit sintetis/oh  gak/dia udah pakai soft #-#&amp;_%@ /cepet amanin size kamu sebelum size kamu kehabisan/check out and payment sekarang juga/buat kak mahmud buruan/ kak/ buruan hoodienya sudah habis/ sisanya jogger Panjang/sisanya jogger panjang/jogger/ jogger Panjang//</w:t>
      </w:r>
    </w:p>
    <w:p w14:paraId="153EA712" w14:textId="77777777" w:rsidR="00BF0EBE" w:rsidRDefault="00BF0EBE" w:rsidP="00BF0EBE">
      <w:pPr>
        <w:ind w:firstLine="720"/>
        <w:jc w:val="both"/>
        <w:rPr>
          <w:rFonts w:ascii="Calibri" w:eastAsia="Calibri" w:hAnsi="Calibri" w:cs="Calibri"/>
          <w:bCs/>
          <w:sz w:val="22"/>
          <w:szCs w:val="22"/>
        </w:rPr>
      </w:pPr>
    </w:p>
    <w:p w14:paraId="65504B62" w14:textId="0C723A99" w:rsidR="009952CC" w:rsidRDefault="009952CC" w:rsidP="00BF0EBE">
      <w:pPr>
        <w:ind w:firstLine="720"/>
        <w:jc w:val="both"/>
        <w:rPr>
          <w:rFonts w:ascii="Calibri" w:eastAsia="Calibri" w:hAnsi="Calibri" w:cs="Calibri"/>
          <w:bCs/>
          <w:sz w:val="22"/>
          <w:szCs w:val="22"/>
        </w:rPr>
      </w:pPr>
      <w:r w:rsidRPr="009952CC">
        <w:rPr>
          <w:rFonts w:ascii="Calibri" w:eastAsia="Calibri" w:hAnsi="Calibri" w:cs="Calibri"/>
          <w:bCs/>
          <w:sz w:val="22"/>
          <w:szCs w:val="22"/>
        </w:rPr>
        <w:t>The average of host’s speed speaking rate is 125-195 words per minutes with the pauses average in every 5 words. Additional information can be found in the table provided below:</w:t>
      </w:r>
    </w:p>
    <w:p w14:paraId="0F5908CE" w14:textId="77777777" w:rsidR="008B6717" w:rsidRDefault="008B6717">
      <w:pPr>
        <w:jc w:val="both"/>
        <w:rPr>
          <w:rFonts w:ascii="Calibri" w:eastAsia="Calibri" w:hAnsi="Calibri" w:cs="Calibri"/>
          <w:bCs/>
          <w:sz w:val="22"/>
          <w:szCs w:val="22"/>
        </w:rPr>
      </w:pPr>
    </w:p>
    <w:p w14:paraId="56E78672" w14:textId="1DC56830" w:rsidR="00AB5ED2" w:rsidRPr="008B6717" w:rsidRDefault="00AB5ED2" w:rsidP="008B6717">
      <w:pPr>
        <w:jc w:val="center"/>
        <w:rPr>
          <w:rFonts w:ascii="Calibri" w:eastAsia="Calibri" w:hAnsi="Calibri" w:cs="Calibri"/>
          <w:bCs/>
        </w:rPr>
      </w:pPr>
      <w:r w:rsidRPr="008B6717">
        <w:rPr>
          <w:rFonts w:ascii="Calibri" w:eastAsia="Calibri" w:hAnsi="Calibri" w:cs="Calibri"/>
          <w:bCs/>
        </w:rPr>
        <w:t>Table 2.</w:t>
      </w:r>
      <w:r w:rsidR="008B6717">
        <w:rPr>
          <w:rFonts w:ascii="Calibri" w:eastAsia="Calibri" w:hAnsi="Calibri" w:cs="Calibri"/>
          <w:bCs/>
        </w:rPr>
        <w:t xml:space="preserve"> D</w:t>
      </w:r>
      <w:r w:rsidR="008B6717" w:rsidRPr="008B6717">
        <w:rPr>
          <w:rFonts w:ascii="Calibri" w:eastAsia="Calibri" w:hAnsi="Calibri" w:cs="Calibri"/>
          <w:bCs/>
        </w:rPr>
        <w:t xml:space="preserve">elivery </w:t>
      </w:r>
      <w:r w:rsidR="008B6717">
        <w:rPr>
          <w:rFonts w:ascii="Calibri" w:eastAsia="Calibri" w:hAnsi="Calibri" w:cs="Calibri"/>
          <w:bCs/>
        </w:rPr>
        <w:t>M</w:t>
      </w:r>
      <w:r w:rsidR="008B6717" w:rsidRPr="008B6717">
        <w:rPr>
          <w:rFonts w:ascii="Calibri" w:eastAsia="Calibri" w:hAnsi="Calibri" w:cs="Calibri"/>
          <w:bCs/>
        </w:rPr>
        <w:t>ethods</w:t>
      </w:r>
      <w:r w:rsidR="008B6717">
        <w:rPr>
          <w:rFonts w:ascii="Calibri" w:eastAsia="Calibri" w:hAnsi="Calibri" w:cs="Calibri"/>
          <w:bCs/>
        </w:rPr>
        <w:t xml:space="preserve"> of </w:t>
      </w:r>
      <w:r w:rsidR="008B6717" w:rsidRPr="009952CC">
        <w:rPr>
          <w:rFonts w:asciiTheme="minorHAnsi" w:eastAsia="Calibri" w:hAnsiTheme="minorHAnsi" w:cstheme="minorHAnsi"/>
          <w:bCs/>
          <w:lang w:val="en-ID"/>
        </w:rPr>
        <w:t>Aerostree</w:t>
      </w:r>
      <w:r w:rsidR="008B6717">
        <w:rPr>
          <w:rFonts w:asciiTheme="minorHAnsi" w:eastAsia="Calibri" w:hAnsiTheme="minorHAnsi" w:cstheme="minorHAnsi"/>
          <w:bCs/>
          <w:lang w:val="en-ID"/>
        </w:rPr>
        <w:t>t’s Host</w:t>
      </w:r>
    </w:p>
    <w:tbl>
      <w:tblPr>
        <w:tblW w:w="0" w:type="auto"/>
        <w:jc w:val="center"/>
        <w:tblLayout w:type="fixed"/>
        <w:tblCellMar>
          <w:top w:w="53" w:type="dxa"/>
          <w:right w:w="54" w:type="dxa"/>
        </w:tblCellMar>
        <w:tblLook w:val="04A0" w:firstRow="1" w:lastRow="0" w:firstColumn="1" w:lastColumn="0" w:noHBand="0" w:noVBand="1"/>
      </w:tblPr>
      <w:tblGrid>
        <w:gridCol w:w="1623"/>
        <w:gridCol w:w="2058"/>
        <w:gridCol w:w="3086"/>
      </w:tblGrid>
      <w:tr w:rsidR="008B6717" w:rsidRPr="009952CC" w14:paraId="03CA3CFA" w14:textId="77777777" w:rsidTr="00CF63B7">
        <w:trPr>
          <w:trHeight w:val="349"/>
          <w:jc w:val="center"/>
        </w:trPr>
        <w:tc>
          <w:tcPr>
            <w:tcW w:w="6767" w:type="dxa"/>
            <w:gridSpan w:val="3"/>
            <w:tcBorders>
              <w:top w:val="single" w:sz="4" w:space="0" w:color="000000"/>
              <w:left w:val="single" w:sz="4" w:space="0" w:color="000000"/>
              <w:bottom w:val="single" w:sz="4" w:space="0" w:color="000000"/>
              <w:right w:val="single" w:sz="4" w:space="0" w:color="000000"/>
            </w:tcBorders>
          </w:tcPr>
          <w:p w14:paraId="1287EE36" w14:textId="053869E9" w:rsidR="008B6717" w:rsidRPr="009952CC" w:rsidRDefault="008B6717" w:rsidP="008B6717">
            <w:pPr>
              <w:jc w:val="center"/>
              <w:rPr>
                <w:rFonts w:asciiTheme="minorHAnsi" w:eastAsia="Calibri" w:hAnsiTheme="minorHAnsi" w:cstheme="minorHAnsi"/>
                <w:bCs/>
                <w:sz w:val="22"/>
                <w:szCs w:val="22"/>
                <w:lang w:val="en-ID"/>
              </w:rPr>
            </w:pPr>
            <w:r>
              <w:rPr>
                <w:rFonts w:asciiTheme="minorHAnsi" w:eastAsia="Calibri" w:hAnsiTheme="minorHAnsi" w:cstheme="minorHAnsi"/>
                <w:bCs/>
                <w:sz w:val="22"/>
                <w:szCs w:val="22"/>
                <w:lang w:val="en-ID"/>
              </w:rPr>
              <w:t>Aerostreet</w:t>
            </w:r>
          </w:p>
        </w:tc>
      </w:tr>
      <w:tr w:rsidR="009952CC" w:rsidRPr="009952CC" w14:paraId="1B15E19D" w14:textId="77777777" w:rsidTr="008B6717">
        <w:trPr>
          <w:trHeight w:val="351"/>
          <w:jc w:val="center"/>
        </w:trPr>
        <w:tc>
          <w:tcPr>
            <w:tcW w:w="1623" w:type="dxa"/>
            <w:vMerge w:val="restart"/>
            <w:tcBorders>
              <w:top w:val="single" w:sz="4" w:space="0" w:color="000000"/>
              <w:left w:val="single" w:sz="4" w:space="0" w:color="000000"/>
              <w:bottom w:val="single" w:sz="4" w:space="0" w:color="000000"/>
              <w:right w:val="single" w:sz="4" w:space="0" w:color="000000"/>
            </w:tcBorders>
          </w:tcPr>
          <w:p w14:paraId="0091EE82"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Physical Appearance </w:t>
            </w:r>
          </w:p>
        </w:tc>
        <w:tc>
          <w:tcPr>
            <w:tcW w:w="2058" w:type="dxa"/>
            <w:tcBorders>
              <w:top w:val="single" w:sz="4" w:space="0" w:color="000000"/>
              <w:left w:val="single" w:sz="4" w:space="0" w:color="000000"/>
              <w:bottom w:val="single" w:sz="4" w:space="0" w:color="000000"/>
              <w:right w:val="single" w:sz="4" w:space="0" w:color="000000"/>
            </w:tcBorders>
          </w:tcPr>
          <w:p w14:paraId="7977A0BA"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Style </w:t>
            </w:r>
          </w:p>
        </w:tc>
        <w:tc>
          <w:tcPr>
            <w:tcW w:w="3086" w:type="dxa"/>
            <w:tcBorders>
              <w:top w:val="single" w:sz="4" w:space="0" w:color="000000"/>
              <w:left w:val="single" w:sz="4" w:space="0" w:color="000000"/>
              <w:bottom w:val="single" w:sz="4" w:space="0" w:color="000000"/>
              <w:right w:val="single" w:sz="4" w:space="0" w:color="000000"/>
            </w:tcBorders>
          </w:tcPr>
          <w:p w14:paraId="7D5E05EA"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Casual  </w:t>
            </w:r>
          </w:p>
        </w:tc>
      </w:tr>
      <w:tr w:rsidR="009952CC" w:rsidRPr="009952CC" w14:paraId="4B3B4C09" w14:textId="77777777" w:rsidTr="008B6717">
        <w:trPr>
          <w:trHeight w:val="367"/>
          <w:jc w:val="center"/>
        </w:trPr>
        <w:tc>
          <w:tcPr>
            <w:tcW w:w="1623" w:type="dxa"/>
            <w:vMerge/>
            <w:tcBorders>
              <w:top w:val="nil"/>
              <w:left w:val="single" w:sz="4" w:space="0" w:color="000000"/>
              <w:bottom w:val="nil"/>
              <w:right w:val="single" w:sz="4" w:space="0" w:color="000000"/>
            </w:tcBorders>
          </w:tcPr>
          <w:p w14:paraId="317D0466" w14:textId="77777777" w:rsidR="009952CC" w:rsidRPr="009952CC" w:rsidRDefault="009952CC" w:rsidP="009952CC">
            <w:pPr>
              <w:jc w:val="both"/>
              <w:rPr>
                <w:rFonts w:asciiTheme="minorHAnsi" w:eastAsia="Calibri" w:hAnsiTheme="minorHAnsi" w:cstheme="minorHAnsi"/>
                <w:bCs/>
                <w:sz w:val="22"/>
                <w:szCs w:val="22"/>
                <w:lang w:val="en-ID"/>
              </w:rPr>
            </w:pPr>
          </w:p>
        </w:tc>
        <w:tc>
          <w:tcPr>
            <w:tcW w:w="2058" w:type="dxa"/>
            <w:tcBorders>
              <w:top w:val="single" w:sz="4" w:space="0" w:color="000000"/>
              <w:left w:val="single" w:sz="4" w:space="0" w:color="000000"/>
              <w:bottom w:val="single" w:sz="4" w:space="0" w:color="000000"/>
              <w:right w:val="single" w:sz="4" w:space="0" w:color="000000"/>
            </w:tcBorders>
          </w:tcPr>
          <w:p w14:paraId="241E9805"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Gesture </w:t>
            </w:r>
          </w:p>
        </w:tc>
        <w:tc>
          <w:tcPr>
            <w:tcW w:w="3086" w:type="dxa"/>
            <w:tcBorders>
              <w:top w:val="single" w:sz="4" w:space="0" w:color="000000"/>
              <w:left w:val="single" w:sz="4" w:space="0" w:color="000000"/>
              <w:bottom w:val="single" w:sz="4" w:space="0" w:color="000000"/>
              <w:right w:val="single" w:sz="4" w:space="0" w:color="000000"/>
            </w:tcBorders>
          </w:tcPr>
          <w:p w14:paraId="44BABEEC"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No Specific </w:t>
            </w:r>
          </w:p>
        </w:tc>
      </w:tr>
      <w:tr w:rsidR="009952CC" w:rsidRPr="009952CC" w14:paraId="249A16ED" w14:textId="77777777" w:rsidTr="008B6717">
        <w:trPr>
          <w:trHeight w:val="351"/>
          <w:jc w:val="center"/>
        </w:trPr>
        <w:tc>
          <w:tcPr>
            <w:tcW w:w="1623" w:type="dxa"/>
            <w:vMerge/>
            <w:tcBorders>
              <w:top w:val="nil"/>
              <w:left w:val="single" w:sz="4" w:space="0" w:color="000000"/>
              <w:bottom w:val="single" w:sz="4" w:space="0" w:color="000000"/>
              <w:right w:val="single" w:sz="4" w:space="0" w:color="000000"/>
            </w:tcBorders>
          </w:tcPr>
          <w:p w14:paraId="3CE0C91D" w14:textId="77777777" w:rsidR="009952CC" w:rsidRPr="009952CC" w:rsidRDefault="009952CC" w:rsidP="009952CC">
            <w:pPr>
              <w:jc w:val="both"/>
              <w:rPr>
                <w:rFonts w:asciiTheme="minorHAnsi" w:eastAsia="Calibri" w:hAnsiTheme="minorHAnsi" w:cstheme="minorHAnsi"/>
                <w:bCs/>
                <w:sz w:val="22"/>
                <w:szCs w:val="22"/>
                <w:lang w:val="en-ID"/>
              </w:rPr>
            </w:pPr>
          </w:p>
        </w:tc>
        <w:tc>
          <w:tcPr>
            <w:tcW w:w="2058" w:type="dxa"/>
            <w:tcBorders>
              <w:top w:val="single" w:sz="4" w:space="0" w:color="000000"/>
              <w:left w:val="single" w:sz="4" w:space="0" w:color="000000"/>
              <w:bottom w:val="single" w:sz="4" w:space="0" w:color="000000"/>
              <w:right w:val="single" w:sz="4" w:space="0" w:color="000000"/>
            </w:tcBorders>
          </w:tcPr>
          <w:p w14:paraId="16904131"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Non Verbal Cues </w:t>
            </w:r>
          </w:p>
        </w:tc>
        <w:tc>
          <w:tcPr>
            <w:tcW w:w="3086" w:type="dxa"/>
            <w:tcBorders>
              <w:top w:val="single" w:sz="4" w:space="0" w:color="000000"/>
              <w:left w:val="single" w:sz="4" w:space="0" w:color="000000"/>
              <w:bottom w:val="single" w:sz="4" w:space="0" w:color="000000"/>
              <w:right w:val="single" w:sz="4" w:space="0" w:color="000000"/>
            </w:tcBorders>
          </w:tcPr>
          <w:p w14:paraId="3721BE9B"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No Specific </w:t>
            </w:r>
          </w:p>
        </w:tc>
      </w:tr>
      <w:tr w:rsidR="009952CC" w:rsidRPr="009952CC" w14:paraId="4D64C4DB" w14:textId="77777777" w:rsidTr="008B6717">
        <w:trPr>
          <w:trHeight w:val="349"/>
          <w:jc w:val="center"/>
        </w:trPr>
        <w:tc>
          <w:tcPr>
            <w:tcW w:w="1623" w:type="dxa"/>
            <w:vMerge w:val="restart"/>
            <w:tcBorders>
              <w:top w:val="single" w:sz="4" w:space="0" w:color="000000"/>
              <w:left w:val="single" w:sz="4" w:space="0" w:color="000000"/>
              <w:bottom w:val="single" w:sz="4" w:space="0" w:color="000000"/>
              <w:right w:val="single" w:sz="4" w:space="0" w:color="000000"/>
            </w:tcBorders>
          </w:tcPr>
          <w:p w14:paraId="466E5B0A"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Vocal Characteristics </w:t>
            </w:r>
          </w:p>
        </w:tc>
        <w:tc>
          <w:tcPr>
            <w:tcW w:w="2058" w:type="dxa"/>
            <w:tcBorders>
              <w:top w:val="single" w:sz="4" w:space="0" w:color="000000"/>
              <w:left w:val="single" w:sz="4" w:space="0" w:color="000000"/>
              <w:bottom w:val="single" w:sz="4" w:space="0" w:color="000000"/>
              <w:right w:val="single" w:sz="4" w:space="0" w:color="000000"/>
            </w:tcBorders>
          </w:tcPr>
          <w:p w14:paraId="12A7596A"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Voice quality </w:t>
            </w:r>
          </w:p>
        </w:tc>
        <w:tc>
          <w:tcPr>
            <w:tcW w:w="3086" w:type="dxa"/>
            <w:tcBorders>
              <w:top w:val="single" w:sz="4" w:space="0" w:color="000000"/>
              <w:left w:val="single" w:sz="4" w:space="0" w:color="000000"/>
              <w:bottom w:val="single" w:sz="4" w:space="0" w:color="000000"/>
              <w:right w:val="single" w:sz="4" w:space="0" w:color="000000"/>
            </w:tcBorders>
          </w:tcPr>
          <w:p w14:paraId="391DF5A0"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Host and Co Host: Harshness  </w:t>
            </w:r>
          </w:p>
        </w:tc>
      </w:tr>
      <w:tr w:rsidR="009952CC" w:rsidRPr="009952CC" w14:paraId="419A2329" w14:textId="77777777" w:rsidTr="008B6717">
        <w:trPr>
          <w:trHeight w:val="733"/>
          <w:jc w:val="center"/>
        </w:trPr>
        <w:tc>
          <w:tcPr>
            <w:tcW w:w="1623" w:type="dxa"/>
            <w:vMerge/>
            <w:tcBorders>
              <w:top w:val="nil"/>
              <w:left w:val="single" w:sz="4" w:space="0" w:color="000000"/>
              <w:bottom w:val="nil"/>
              <w:right w:val="single" w:sz="4" w:space="0" w:color="000000"/>
            </w:tcBorders>
          </w:tcPr>
          <w:p w14:paraId="2DE0D535" w14:textId="77777777" w:rsidR="009952CC" w:rsidRPr="009952CC" w:rsidRDefault="009952CC" w:rsidP="009952CC">
            <w:pPr>
              <w:jc w:val="both"/>
              <w:rPr>
                <w:rFonts w:asciiTheme="minorHAnsi" w:eastAsia="Calibri" w:hAnsiTheme="minorHAnsi" w:cstheme="minorHAnsi"/>
                <w:bCs/>
                <w:sz w:val="22"/>
                <w:szCs w:val="22"/>
                <w:lang w:val="en-ID"/>
              </w:rPr>
            </w:pPr>
          </w:p>
        </w:tc>
        <w:tc>
          <w:tcPr>
            <w:tcW w:w="2058" w:type="dxa"/>
            <w:tcBorders>
              <w:top w:val="single" w:sz="4" w:space="0" w:color="000000"/>
              <w:left w:val="single" w:sz="4" w:space="0" w:color="000000"/>
              <w:bottom w:val="single" w:sz="4" w:space="0" w:color="000000"/>
              <w:right w:val="single" w:sz="4" w:space="0" w:color="000000"/>
            </w:tcBorders>
          </w:tcPr>
          <w:p w14:paraId="25602F51"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Speed Speaking Rate </w:t>
            </w:r>
          </w:p>
        </w:tc>
        <w:tc>
          <w:tcPr>
            <w:tcW w:w="3086" w:type="dxa"/>
            <w:tcBorders>
              <w:top w:val="single" w:sz="4" w:space="0" w:color="000000"/>
              <w:left w:val="single" w:sz="4" w:space="0" w:color="000000"/>
              <w:bottom w:val="single" w:sz="4" w:space="0" w:color="000000"/>
              <w:right w:val="single" w:sz="4" w:space="0" w:color="000000"/>
            </w:tcBorders>
          </w:tcPr>
          <w:p w14:paraId="760400D4"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Male: 125 words/minutes </w:t>
            </w:r>
          </w:p>
          <w:p w14:paraId="391A50CA" w14:textId="742DC1C4"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Female: 165-195 words/ minutes </w:t>
            </w:r>
          </w:p>
        </w:tc>
      </w:tr>
      <w:tr w:rsidR="009952CC" w:rsidRPr="009952CC" w14:paraId="68AD58D3" w14:textId="77777777" w:rsidTr="008B6717">
        <w:trPr>
          <w:trHeight w:val="489"/>
          <w:jc w:val="center"/>
        </w:trPr>
        <w:tc>
          <w:tcPr>
            <w:tcW w:w="1623" w:type="dxa"/>
            <w:vMerge/>
            <w:tcBorders>
              <w:top w:val="nil"/>
              <w:left w:val="single" w:sz="4" w:space="0" w:color="000000"/>
              <w:bottom w:val="nil"/>
              <w:right w:val="single" w:sz="4" w:space="0" w:color="000000"/>
            </w:tcBorders>
          </w:tcPr>
          <w:p w14:paraId="5143A433" w14:textId="77777777" w:rsidR="009952CC" w:rsidRPr="009952CC" w:rsidRDefault="009952CC" w:rsidP="009952CC">
            <w:pPr>
              <w:jc w:val="both"/>
              <w:rPr>
                <w:rFonts w:asciiTheme="minorHAnsi" w:eastAsia="Calibri" w:hAnsiTheme="minorHAnsi" w:cstheme="minorHAnsi"/>
                <w:bCs/>
                <w:sz w:val="22"/>
                <w:szCs w:val="22"/>
                <w:lang w:val="en-ID"/>
              </w:rPr>
            </w:pPr>
          </w:p>
        </w:tc>
        <w:tc>
          <w:tcPr>
            <w:tcW w:w="2058" w:type="dxa"/>
            <w:tcBorders>
              <w:top w:val="single" w:sz="4" w:space="0" w:color="000000"/>
              <w:left w:val="single" w:sz="4" w:space="0" w:color="000000"/>
              <w:bottom w:val="single" w:sz="4" w:space="0" w:color="000000"/>
              <w:right w:val="single" w:sz="4" w:space="0" w:color="000000"/>
            </w:tcBorders>
          </w:tcPr>
          <w:p w14:paraId="2AFF1D3C"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Power </w:t>
            </w:r>
          </w:p>
        </w:tc>
        <w:tc>
          <w:tcPr>
            <w:tcW w:w="3086" w:type="dxa"/>
            <w:tcBorders>
              <w:top w:val="single" w:sz="4" w:space="0" w:color="000000"/>
              <w:left w:val="single" w:sz="4" w:space="0" w:color="000000"/>
              <w:bottom w:val="single" w:sz="4" w:space="0" w:color="000000"/>
              <w:right w:val="single" w:sz="4" w:space="0" w:color="000000"/>
            </w:tcBorders>
          </w:tcPr>
          <w:p w14:paraId="18113F12"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Male: 84-90 db Female: 85 db </w:t>
            </w:r>
          </w:p>
        </w:tc>
      </w:tr>
      <w:tr w:rsidR="009952CC" w:rsidRPr="009952CC" w14:paraId="473F09D2" w14:textId="77777777" w:rsidTr="008B6717">
        <w:trPr>
          <w:trHeight w:val="489"/>
          <w:jc w:val="center"/>
        </w:trPr>
        <w:tc>
          <w:tcPr>
            <w:tcW w:w="1623" w:type="dxa"/>
            <w:vMerge/>
            <w:tcBorders>
              <w:top w:val="nil"/>
              <w:left w:val="single" w:sz="4" w:space="0" w:color="000000"/>
              <w:bottom w:val="nil"/>
              <w:right w:val="single" w:sz="4" w:space="0" w:color="000000"/>
            </w:tcBorders>
          </w:tcPr>
          <w:p w14:paraId="5D3574D6" w14:textId="77777777" w:rsidR="009952CC" w:rsidRPr="009952CC" w:rsidRDefault="009952CC" w:rsidP="009952CC">
            <w:pPr>
              <w:jc w:val="both"/>
              <w:rPr>
                <w:rFonts w:asciiTheme="minorHAnsi" w:eastAsia="Calibri" w:hAnsiTheme="minorHAnsi" w:cstheme="minorHAnsi"/>
                <w:bCs/>
                <w:sz w:val="22"/>
                <w:szCs w:val="22"/>
                <w:lang w:val="en-ID"/>
              </w:rPr>
            </w:pPr>
          </w:p>
        </w:tc>
        <w:tc>
          <w:tcPr>
            <w:tcW w:w="2058" w:type="dxa"/>
            <w:tcBorders>
              <w:top w:val="single" w:sz="4" w:space="0" w:color="000000"/>
              <w:left w:val="single" w:sz="4" w:space="0" w:color="000000"/>
              <w:bottom w:val="single" w:sz="4" w:space="0" w:color="000000"/>
              <w:right w:val="single" w:sz="4" w:space="0" w:color="000000"/>
            </w:tcBorders>
          </w:tcPr>
          <w:p w14:paraId="66D01BF1"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Pauses </w:t>
            </w:r>
          </w:p>
        </w:tc>
        <w:tc>
          <w:tcPr>
            <w:tcW w:w="3086" w:type="dxa"/>
            <w:tcBorders>
              <w:top w:val="single" w:sz="4" w:space="0" w:color="000000"/>
              <w:left w:val="single" w:sz="4" w:space="0" w:color="000000"/>
              <w:bottom w:val="single" w:sz="4" w:space="0" w:color="000000"/>
              <w:right w:val="single" w:sz="4" w:space="0" w:color="000000"/>
            </w:tcBorders>
          </w:tcPr>
          <w:p w14:paraId="58CCE376"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Male: 5 words Female: 4 words </w:t>
            </w:r>
          </w:p>
        </w:tc>
      </w:tr>
      <w:tr w:rsidR="009952CC" w:rsidRPr="009952CC" w14:paraId="6B967748" w14:textId="77777777" w:rsidTr="008B6717">
        <w:trPr>
          <w:trHeight w:val="492"/>
          <w:jc w:val="center"/>
        </w:trPr>
        <w:tc>
          <w:tcPr>
            <w:tcW w:w="1623" w:type="dxa"/>
            <w:vMerge/>
            <w:tcBorders>
              <w:top w:val="nil"/>
              <w:left w:val="single" w:sz="4" w:space="0" w:color="000000"/>
              <w:bottom w:val="nil"/>
              <w:right w:val="single" w:sz="4" w:space="0" w:color="000000"/>
            </w:tcBorders>
          </w:tcPr>
          <w:p w14:paraId="5868A2F7" w14:textId="77777777" w:rsidR="009952CC" w:rsidRPr="009952CC" w:rsidRDefault="009952CC" w:rsidP="009952CC">
            <w:pPr>
              <w:jc w:val="both"/>
              <w:rPr>
                <w:rFonts w:asciiTheme="minorHAnsi" w:eastAsia="Calibri" w:hAnsiTheme="minorHAnsi" w:cstheme="minorHAnsi"/>
                <w:bCs/>
                <w:sz w:val="22"/>
                <w:szCs w:val="22"/>
                <w:lang w:val="en-ID"/>
              </w:rPr>
            </w:pPr>
          </w:p>
        </w:tc>
        <w:tc>
          <w:tcPr>
            <w:tcW w:w="2058" w:type="dxa"/>
            <w:tcBorders>
              <w:top w:val="single" w:sz="4" w:space="0" w:color="000000"/>
              <w:left w:val="single" w:sz="4" w:space="0" w:color="000000"/>
              <w:bottom w:val="single" w:sz="4" w:space="0" w:color="000000"/>
              <w:right w:val="single" w:sz="4" w:space="0" w:color="000000"/>
            </w:tcBorders>
          </w:tcPr>
          <w:p w14:paraId="4140CA3A"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Intonation  </w:t>
            </w:r>
          </w:p>
        </w:tc>
        <w:tc>
          <w:tcPr>
            <w:tcW w:w="3086" w:type="dxa"/>
            <w:tcBorders>
              <w:top w:val="single" w:sz="4" w:space="0" w:color="000000"/>
              <w:left w:val="single" w:sz="4" w:space="0" w:color="000000"/>
              <w:bottom w:val="single" w:sz="4" w:space="0" w:color="000000"/>
              <w:right w:val="single" w:sz="4" w:space="0" w:color="000000"/>
            </w:tcBorders>
          </w:tcPr>
          <w:p w14:paraId="6D9AED82"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Host: flat-dynamic-fast Co-host: flat-hard </w:t>
            </w:r>
          </w:p>
        </w:tc>
      </w:tr>
      <w:tr w:rsidR="009952CC" w:rsidRPr="009952CC" w14:paraId="03338643" w14:textId="77777777" w:rsidTr="008B6717">
        <w:trPr>
          <w:trHeight w:val="349"/>
          <w:jc w:val="center"/>
        </w:trPr>
        <w:tc>
          <w:tcPr>
            <w:tcW w:w="1623" w:type="dxa"/>
            <w:vMerge/>
            <w:tcBorders>
              <w:top w:val="nil"/>
              <w:left w:val="single" w:sz="4" w:space="0" w:color="000000"/>
              <w:bottom w:val="nil"/>
              <w:right w:val="single" w:sz="4" w:space="0" w:color="000000"/>
            </w:tcBorders>
          </w:tcPr>
          <w:p w14:paraId="066AE418" w14:textId="77777777" w:rsidR="009952CC" w:rsidRPr="009952CC" w:rsidRDefault="009952CC" w:rsidP="009952CC">
            <w:pPr>
              <w:jc w:val="both"/>
              <w:rPr>
                <w:rFonts w:asciiTheme="minorHAnsi" w:eastAsia="Calibri" w:hAnsiTheme="minorHAnsi" w:cstheme="minorHAnsi"/>
                <w:bCs/>
                <w:sz w:val="22"/>
                <w:szCs w:val="22"/>
                <w:lang w:val="en-ID"/>
              </w:rPr>
            </w:pPr>
          </w:p>
        </w:tc>
        <w:tc>
          <w:tcPr>
            <w:tcW w:w="2058" w:type="dxa"/>
            <w:tcBorders>
              <w:top w:val="single" w:sz="4" w:space="0" w:color="000000"/>
              <w:left w:val="single" w:sz="4" w:space="0" w:color="000000"/>
              <w:bottom w:val="single" w:sz="4" w:space="0" w:color="000000"/>
              <w:right w:val="single" w:sz="4" w:space="0" w:color="000000"/>
            </w:tcBorders>
          </w:tcPr>
          <w:p w14:paraId="4DBD2597"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Accent </w:t>
            </w:r>
          </w:p>
        </w:tc>
        <w:tc>
          <w:tcPr>
            <w:tcW w:w="3086" w:type="dxa"/>
            <w:tcBorders>
              <w:top w:val="single" w:sz="4" w:space="0" w:color="000000"/>
              <w:left w:val="single" w:sz="4" w:space="0" w:color="000000"/>
              <w:bottom w:val="single" w:sz="4" w:space="0" w:color="000000"/>
              <w:right w:val="single" w:sz="4" w:space="0" w:color="000000"/>
            </w:tcBorders>
          </w:tcPr>
          <w:p w14:paraId="6C57E686"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Javanese </w:t>
            </w:r>
          </w:p>
        </w:tc>
      </w:tr>
      <w:tr w:rsidR="009952CC" w:rsidRPr="009952CC" w14:paraId="2402A0C0" w14:textId="77777777" w:rsidTr="008B6717">
        <w:trPr>
          <w:trHeight w:val="351"/>
          <w:jc w:val="center"/>
        </w:trPr>
        <w:tc>
          <w:tcPr>
            <w:tcW w:w="1623" w:type="dxa"/>
            <w:vMerge/>
            <w:tcBorders>
              <w:top w:val="nil"/>
              <w:left w:val="single" w:sz="4" w:space="0" w:color="000000"/>
              <w:bottom w:val="nil"/>
              <w:right w:val="single" w:sz="4" w:space="0" w:color="000000"/>
            </w:tcBorders>
          </w:tcPr>
          <w:p w14:paraId="6AB27B40" w14:textId="77777777" w:rsidR="009952CC" w:rsidRPr="009952CC" w:rsidRDefault="009952CC" w:rsidP="009952CC">
            <w:pPr>
              <w:jc w:val="both"/>
              <w:rPr>
                <w:rFonts w:asciiTheme="minorHAnsi" w:eastAsia="Calibri" w:hAnsiTheme="minorHAnsi" w:cstheme="minorHAnsi"/>
                <w:bCs/>
                <w:sz w:val="22"/>
                <w:szCs w:val="22"/>
                <w:lang w:val="en-ID"/>
              </w:rPr>
            </w:pPr>
          </w:p>
        </w:tc>
        <w:tc>
          <w:tcPr>
            <w:tcW w:w="2058" w:type="dxa"/>
            <w:tcBorders>
              <w:top w:val="single" w:sz="4" w:space="0" w:color="000000"/>
              <w:left w:val="single" w:sz="4" w:space="0" w:color="000000"/>
              <w:bottom w:val="single" w:sz="4" w:space="0" w:color="000000"/>
              <w:right w:val="single" w:sz="4" w:space="0" w:color="000000"/>
            </w:tcBorders>
          </w:tcPr>
          <w:p w14:paraId="5C2F27F5"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Switch Code </w:t>
            </w:r>
          </w:p>
        </w:tc>
        <w:tc>
          <w:tcPr>
            <w:tcW w:w="3086" w:type="dxa"/>
            <w:tcBorders>
              <w:top w:val="single" w:sz="4" w:space="0" w:color="000000"/>
              <w:left w:val="single" w:sz="4" w:space="0" w:color="000000"/>
              <w:bottom w:val="single" w:sz="4" w:space="0" w:color="000000"/>
              <w:right w:val="single" w:sz="4" w:space="0" w:color="000000"/>
            </w:tcBorders>
          </w:tcPr>
          <w:p w14:paraId="181CCD74"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Javanese, Malays, Betawinese </w:t>
            </w:r>
          </w:p>
        </w:tc>
      </w:tr>
      <w:tr w:rsidR="009952CC" w:rsidRPr="009952CC" w14:paraId="128544A4" w14:textId="77777777" w:rsidTr="008B6717">
        <w:trPr>
          <w:trHeight w:val="490"/>
          <w:jc w:val="center"/>
        </w:trPr>
        <w:tc>
          <w:tcPr>
            <w:tcW w:w="1623" w:type="dxa"/>
            <w:vMerge/>
            <w:tcBorders>
              <w:top w:val="nil"/>
              <w:left w:val="single" w:sz="4" w:space="0" w:color="000000"/>
              <w:bottom w:val="single" w:sz="4" w:space="0" w:color="000000"/>
              <w:right w:val="single" w:sz="4" w:space="0" w:color="000000"/>
            </w:tcBorders>
          </w:tcPr>
          <w:p w14:paraId="13DDB5C7" w14:textId="77777777" w:rsidR="009952CC" w:rsidRPr="009952CC" w:rsidRDefault="009952CC" w:rsidP="009952CC">
            <w:pPr>
              <w:jc w:val="both"/>
              <w:rPr>
                <w:rFonts w:asciiTheme="minorHAnsi" w:eastAsia="Calibri" w:hAnsiTheme="minorHAnsi" w:cstheme="minorHAnsi"/>
                <w:bCs/>
                <w:sz w:val="22"/>
                <w:szCs w:val="22"/>
                <w:lang w:val="en-ID"/>
              </w:rPr>
            </w:pPr>
          </w:p>
        </w:tc>
        <w:tc>
          <w:tcPr>
            <w:tcW w:w="2058" w:type="dxa"/>
            <w:tcBorders>
              <w:top w:val="single" w:sz="4" w:space="0" w:color="000000"/>
              <w:left w:val="single" w:sz="4" w:space="0" w:color="000000"/>
              <w:bottom w:val="single" w:sz="4" w:space="0" w:color="000000"/>
              <w:right w:val="single" w:sz="4" w:space="0" w:color="000000"/>
            </w:tcBorders>
          </w:tcPr>
          <w:p w14:paraId="3B934678"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Frequent words </w:t>
            </w:r>
          </w:p>
        </w:tc>
        <w:tc>
          <w:tcPr>
            <w:tcW w:w="3086" w:type="dxa"/>
            <w:tcBorders>
              <w:top w:val="single" w:sz="4" w:space="0" w:color="000000"/>
              <w:left w:val="single" w:sz="4" w:space="0" w:color="000000"/>
              <w:bottom w:val="single" w:sz="4" w:space="0" w:color="000000"/>
              <w:right w:val="single" w:sz="4" w:space="0" w:color="000000"/>
            </w:tcBorders>
          </w:tcPr>
          <w:p w14:paraId="1C0345C2" w14:textId="4171DA0D"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Buruannn, boleh, checkout, </w:t>
            </w:r>
          </w:p>
          <w:p w14:paraId="4497E6FD" w14:textId="77777777" w:rsidR="009952CC" w:rsidRPr="009952CC" w:rsidRDefault="009952CC" w:rsidP="009952CC">
            <w:pPr>
              <w:jc w:val="both"/>
              <w:rPr>
                <w:rFonts w:asciiTheme="minorHAnsi" w:eastAsia="Calibri" w:hAnsiTheme="minorHAnsi" w:cstheme="minorHAnsi"/>
                <w:bCs/>
                <w:sz w:val="22"/>
                <w:szCs w:val="22"/>
                <w:lang w:val="en-ID"/>
              </w:rPr>
            </w:pPr>
            <w:r w:rsidRPr="009952CC">
              <w:rPr>
                <w:rFonts w:asciiTheme="minorHAnsi" w:eastAsia="Calibri" w:hAnsiTheme="minorHAnsi" w:cstheme="minorHAnsi"/>
                <w:bCs/>
                <w:sz w:val="22"/>
                <w:szCs w:val="22"/>
                <w:lang w:val="en-ID"/>
              </w:rPr>
              <w:t xml:space="preserve">payment, spill, etalase </w:t>
            </w:r>
          </w:p>
        </w:tc>
      </w:tr>
    </w:tbl>
    <w:p w14:paraId="0B7AE924" w14:textId="62DD0DDA" w:rsidR="009952CC" w:rsidRPr="008B6717" w:rsidRDefault="008B6717" w:rsidP="008B6717">
      <w:pPr>
        <w:jc w:val="center"/>
        <w:rPr>
          <w:rFonts w:ascii="Calibri" w:eastAsia="Calibri" w:hAnsi="Calibri" w:cs="Calibri"/>
          <w:bCs/>
        </w:rPr>
      </w:pPr>
      <w:bookmarkStart w:id="1" w:name="_Hlk152160397"/>
      <w:r w:rsidRPr="008B6717">
        <w:rPr>
          <w:rFonts w:ascii="Calibri" w:eastAsia="Calibri" w:hAnsi="Calibri" w:cs="Calibri"/>
          <w:bCs/>
        </w:rPr>
        <w:t>Source: Research Result, 2023</w:t>
      </w:r>
    </w:p>
    <w:bookmarkEnd w:id="1"/>
    <w:p w14:paraId="42CB21F1" w14:textId="77777777" w:rsidR="008B6717" w:rsidRDefault="008B6717" w:rsidP="009952CC">
      <w:pPr>
        <w:ind w:firstLine="720"/>
        <w:jc w:val="both"/>
        <w:rPr>
          <w:rFonts w:ascii="Calibri" w:eastAsia="Calibri" w:hAnsi="Calibri" w:cs="Calibri"/>
          <w:bCs/>
          <w:sz w:val="22"/>
          <w:szCs w:val="22"/>
        </w:rPr>
      </w:pPr>
    </w:p>
    <w:p w14:paraId="0974D3E9" w14:textId="556946BA" w:rsidR="009952CC" w:rsidRPr="009952CC" w:rsidRDefault="009952CC" w:rsidP="009952CC">
      <w:pPr>
        <w:ind w:firstLine="720"/>
        <w:jc w:val="both"/>
        <w:rPr>
          <w:rFonts w:ascii="Calibri" w:eastAsia="Calibri" w:hAnsi="Calibri" w:cs="Calibri"/>
          <w:bCs/>
          <w:sz w:val="22"/>
          <w:szCs w:val="22"/>
        </w:rPr>
      </w:pPr>
      <w:r w:rsidRPr="009952CC">
        <w:rPr>
          <w:rFonts w:ascii="Calibri" w:eastAsia="Calibri" w:hAnsi="Calibri" w:cs="Calibri"/>
          <w:bCs/>
          <w:sz w:val="22"/>
          <w:szCs w:val="22"/>
        </w:rPr>
        <w:t xml:space="preserve">When presenting a product, hosts will often give a brief overview of the product's features and benefits. They sometimes also recommend apparel sizes based on specific body weight. This technique is solely to answer viewers’ questions and the way to captivate more attention from viewers. Overall, they have acquired a comprehensive understanding of product knowledge. Everything was communicated promptly and plainly. After, they usually yelled something like "Hurry up! This promotion ends in a few minutes!" These phrases pertain a persuasive copywriting technique referred to as a "call to action” (Prayoga, 2015). If we examine this attentively, we can see that the host and co-host share some responsibilities. The host's job is to inform the audience on the product, while the co-host's is to act as a provocateur to get the viewers buy immediately. Both male and female host usually make repetition in telling the products. The rapid speech and the words repetition contribute significantly to the development of effective persuasion (Miller et al., 1976). </w:t>
      </w:r>
    </w:p>
    <w:p w14:paraId="151F87C2" w14:textId="30B0597D" w:rsidR="009952CC" w:rsidRDefault="009952CC" w:rsidP="009952CC">
      <w:pPr>
        <w:ind w:firstLine="720"/>
        <w:jc w:val="both"/>
        <w:rPr>
          <w:rFonts w:ascii="Calibri" w:eastAsia="Calibri" w:hAnsi="Calibri" w:cs="Calibri"/>
          <w:bCs/>
          <w:sz w:val="22"/>
          <w:szCs w:val="22"/>
        </w:rPr>
      </w:pPr>
      <w:r w:rsidRPr="009952CC">
        <w:rPr>
          <w:rFonts w:ascii="Calibri" w:eastAsia="Calibri" w:hAnsi="Calibri" w:cs="Calibri"/>
          <w:bCs/>
          <w:sz w:val="22"/>
          <w:szCs w:val="22"/>
        </w:rPr>
        <w:t>Their style can be categorized into a task-oriented style.  This style is characterized by a strong emphasis on achieving specific goals and completing objectives within predetermined timeframes. A task-oriented style defines and supports the functions of the entire team. The task-oriented style encompasses the provision of precise work tools, resources, and other necessary instruments to effectively accomplish a certain task. The primary emphasis is placed towards accomplishing the mission. This style also can be classified into an emotive person because they have high dominance and high sociability. As Manning (2020) stated that the emotive person wants to create a social relationship quickly and is most at ease in an informal setting. They are outgoing, enthusiastic, and stimulating, and they stand out in a crowd because of their expressiveness and willingness to invest time in a wide variety of relationships.</w:t>
      </w:r>
    </w:p>
    <w:p w14:paraId="7865D019" w14:textId="77777777" w:rsidR="0089024C" w:rsidRDefault="0089024C" w:rsidP="009952CC">
      <w:pPr>
        <w:ind w:firstLine="720"/>
        <w:jc w:val="both"/>
        <w:rPr>
          <w:rFonts w:ascii="Calibri" w:eastAsia="Calibri" w:hAnsi="Calibri" w:cs="Calibri"/>
          <w:bCs/>
          <w:sz w:val="22"/>
          <w:szCs w:val="22"/>
        </w:rPr>
      </w:pPr>
    </w:p>
    <w:p w14:paraId="26A9F0E5" w14:textId="2EAC0D05" w:rsidR="009952CC" w:rsidRPr="009952CC" w:rsidRDefault="009952CC" w:rsidP="009952CC">
      <w:pPr>
        <w:jc w:val="both"/>
        <w:rPr>
          <w:rFonts w:ascii="Calibri" w:eastAsia="Calibri" w:hAnsi="Calibri" w:cs="Calibri"/>
          <w:b/>
          <w:sz w:val="22"/>
          <w:szCs w:val="22"/>
        </w:rPr>
      </w:pPr>
      <w:r w:rsidRPr="009952CC">
        <w:rPr>
          <w:rFonts w:ascii="Calibri" w:eastAsia="Calibri" w:hAnsi="Calibri" w:cs="Calibri"/>
          <w:b/>
          <w:sz w:val="22"/>
          <w:szCs w:val="22"/>
        </w:rPr>
        <w:t>Moslem Limited</w:t>
      </w:r>
    </w:p>
    <w:p w14:paraId="592A84A0" w14:textId="77777777" w:rsidR="009952CC" w:rsidRPr="009952CC" w:rsidRDefault="009952CC" w:rsidP="009952CC">
      <w:pPr>
        <w:ind w:firstLine="720"/>
        <w:jc w:val="both"/>
        <w:rPr>
          <w:rFonts w:ascii="Calibri" w:eastAsia="Calibri" w:hAnsi="Calibri" w:cs="Calibri"/>
          <w:bCs/>
          <w:sz w:val="22"/>
          <w:szCs w:val="22"/>
        </w:rPr>
      </w:pPr>
      <w:r w:rsidRPr="009952CC">
        <w:rPr>
          <w:rFonts w:ascii="Calibri" w:eastAsia="Calibri" w:hAnsi="Calibri" w:cs="Calibri"/>
          <w:bCs/>
          <w:sz w:val="22"/>
          <w:szCs w:val="22"/>
        </w:rPr>
        <w:lastRenderedPageBreak/>
        <w:t xml:space="preserve">Moslem Limited was MSMEs which introducing its brand specialized in muslim wear for man. This concept originates from a narrative rooted in Islamic tradition, which is presented and contextualized in a contemporary way in the latest fashion. This brand was founded in 2015 and located in Bandung. Moslem Limited consistently incorporates components of da'wah inside of the items sales.  Currently, the production, sales, and live streaming procedures continue to be conducted within a home. The presence of male hosts in live streaming events can be attributed to the fact that the clothing division being discussed exclusively caters to men. </w:t>
      </w:r>
    </w:p>
    <w:p w14:paraId="64398699" w14:textId="3F4ECD76" w:rsidR="009952CC" w:rsidRDefault="009952CC" w:rsidP="009952CC">
      <w:pPr>
        <w:ind w:firstLine="720"/>
        <w:jc w:val="both"/>
        <w:rPr>
          <w:rFonts w:ascii="Calibri" w:eastAsia="Calibri" w:hAnsi="Calibri" w:cs="Calibri"/>
          <w:bCs/>
          <w:sz w:val="22"/>
          <w:szCs w:val="22"/>
        </w:rPr>
      </w:pPr>
      <w:r w:rsidRPr="009952CC">
        <w:rPr>
          <w:rFonts w:ascii="Calibri" w:eastAsia="Calibri" w:hAnsi="Calibri" w:cs="Calibri"/>
          <w:bCs/>
          <w:sz w:val="22"/>
          <w:szCs w:val="22"/>
        </w:rPr>
        <w:t xml:space="preserve">Nevertheless, this business couldn’t be classified as a small business unit. Moslem Limited has achieved medium-scale business because it has reached impressive sales, sufficient equipment, and creative resources. The live streaming is conducted continuously for up to 24 hours with every 3 hours a new host takes in charge. Moslem Limited abstains from using co-hosts.  </w:t>
      </w:r>
    </w:p>
    <w:p w14:paraId="4D2CF62B" w14:textId="77777777" w:rsidR="00AB5ED2" w:rsidRDefault="00AB5ED2" w:rsidP="009952CC">
      <w:pPr>
        <w:ind w:firstLine="720"/>
        <w:jc w:val="both"/>
        <w:rPr>
          <w:rFonts w:ascii="Calibri" w:eastAsia="Calibri" w:hAnsi="Calibri" w:cs="Calibri"/>
          <w:bCs/>
          <w:sz w:val="22"/>
          <w:szCs w:val="22"/>
        </w:rPr>
      </w:pPr>
    </w:p>
    <w:p w14:paraId="34A2450C" w14:textId="5101B2D9" w:rsidR="009952CC" w:rsidRDefault="00AB5ED2" w:rsidP="008B6717">
      <w:pPr>
        <w:jc w:val="center"/>
        <w:rPr>
          <w:rFonts w:ascii="Calibri" w:eastAsia="Calibri" w:hAnsi="Calibri" w:cs="Calibri"/>
          <w:bCs/>
          <w:sz w:val="22"/>
          <w:szCs w:val="22"/>
        </w:rPr>
      </w:pPr>
      <w:r>
        <w:rPr>
          <w:rFonts w:ascii="Calibri" w:eastAsia="Calibri" w:hAnsi="Calibri" w:cs="Calibri"/>
          <w:bCs/>
          <w:noProof/>
          <w:sz w:val="22"/>
          <w:szCs w:val="22"/>
        </w:rPr>
        <w:drawing>
          <wp:inline distT="0" distB="0" distL="0" distR="0" wp14:anchorId="54944683" wp14:editId="537C4ED1">
            <wp:extent cx="1566545"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6545" cy="2743200"/>
                    </a:xfrm>
                    <a:prstGeom prst="rect">
                      <a:avLst/>
                    </a:prstGeom>
                    <a:noFill/>
                  </pic:spPr>
                </pic:pic>
              </a:graphicData>
            </a:graphic>
          </wp:inline>
        </w:drawing>
      </w:r>
    </w:p>
    <w:p w14:paraId="01A3E123" w14:textId="4E740DA8" w:rsidR="008B6717" w:rsidRDefault="008B6717" w:rsidP="008B6717">
      <w:pPr>
        <w:jc w:val="center"/>
        <w:rPr>
          <w:rFonts w:ascii="Calibri" w:eastAsia="Calibri" w:hAnsi="Calibri" w:cs="Calibri"/>
          <w:bCs/>
        </w:rPr>
      </w:pPr>
      <w:r w:rsidRPr="008B6717">
        <w:rPr>
          <w:rFonts w:ascii="Calibri" w:eastAsia="Calibri" w:hAnsi="Calibri" w:cs="Calibri"/>
          <w:bCs/>
        </w:rPr>
        <w:t xml:space="preserve">Figure </w:t>
      </w:r>
      <w:r w:rsidR="0089024C">
        <w:rPr>
          <w:rFonts w:ascii="Calibri" w:eastAsia="Calibri" w:hAnsi="Calibri" w:cs="Calibri"/>
          <w:bCs/>
        </w:rPr>
        <w:t>2</w:t>
      </w:r>
      <w:r w:rsidRPr="008B6717">
        <w:rPr>
          <w:rFonts w:ascii="Calibri" w:eastAsia="Calibri" w:hAnsi="Calibri" w:cs="Calibri"/>
          <w:bCs/>
        </w:rPr>
        <w:t xml:space="preserve">. Host of </w:t>
      </w:r>
      <w:r>
        <w:rPr>
          <w:rFonts w:ascii="Calibri" w:eastAsia="Calibri" w:hAnsi="Calibri" w:cs="Calibri"/>
          <w:bCs/>
        </w:rPr>
        <w:t>Moslem Limited</w:t>
      </w:r>
    </w:p>
    <w:p w14:paraId="0700AD52" w14:textId="77777777" w:rsidR="008B6717" w:rsidRPr="008B6717" w:rsidRDefault="008B6717" w:rsidP="008B6717">
      <w:pPr>
        <w:jc w:val="center"/>
        <w:rPr>
          <w:rFonts w:ascii="Calibri" w:eastAsia="Calibri" w:hAnsi="Calibri" w:cs="Calibri"/>
          <w:bCs/>
        </w:rPr>
      </w:pPr>
      <w:r>
        <w:rPr>
          <w:rFonts w:ascii="Calibri" w:eastAsia="Calibri" w:hAnsi="Calibri" w:cs="Calibri"/>
          <w:bCs/>
        </w:rPr>
        <w:t>(Source: TikTok, 2023)</w:t>
      </w:r>
    </w:p>
    <w:p w14:paraId="70971276" w14:textId="77777777" w:rsidR="00AB5ED2" w:rsidRDefault="00AB5ED2">
      <w:pPr>
        <w:jc w:val="both"/>
        <w:rPr>
          <w:rFonts w:ascii="Calibri" w:eastAsia="Calibri" w:hAnsi="Calibri" w:cs="Calibri"/>
          <w:b/>
          <w:sz w:val="22"/>
          <w:szCs w:val="22"/>
        </w:rPr>
      </w:pPr>
    </w:p>
    <w:p w14:paraId="7307BD47" w14:textId="497D8D00" w:rsidR="00AB5ED2" w:rsidRPr="00AB5ED2" w:rsidRDefault="00AB5ED2">
      <w:pPr>
        <w:jc w:val="both"/>
        <w:rPr>
          <w:rFonts w:ascii="Calibri" w:eastAsia="Calibri" w:hAnsi="Calibri" w:cs="Calibri"/>
          <w:bCs/>
          <w:i/>
          <w:iCs/>
          <w:sz w:val="22"/>
          <w:szCs w:val="22"/>
        </w:rPr>
      </w:pPr>
      <w:r w:rsidRPr="00AB5ED2">
        <w:rPr>
          <w:rFonts w:ascii="Calibri" w:eastAsia="Calibri" w:hAnsi="Calibri" w:cs="Calibri"/>
          <w:bCs/>
          <w:i/>
          <w:iCs/>
          <w:sz w:val="22"/>
          <w:szCs w:val="22"/>
        </w:rPr>
        <w:t>Estimasinya Palu Sulawesi datang berapa hari kak?/ eee Insyaallah kakak/ tiga empat harian sudah sampai/ yah/ tiga empat harian insyaallah sampai/ jadi kalau misalnya kakak cek out nih besok jadi/ insyaallah itu inysallah antara kamis atau jumat itu udah sampai yah/eh kamis/ antara jumat sori/ antara hari jumat atau minggu sampai kak/ kita pengiriman dari bandung jawa barat/ dan  insyaallahnya bisa antar berkas ke selutruh Indonesia/ ekspedisi yang kita pakai JNE Express/ jadi kakak kalau misalnya di Palu Sulawesi Tengah/ itu insyaallah tiga empat harian sampai yah/ Jadi kalau misalnya kakak pesannya besok/ eee itu antara hari jumat atau sabtu udah sampai yah/ tapi kalua paling cepet sih Jumat atau gak kamis yah/ siapa tau kakak Kamis sudah sampai/ tapi kalua estimasi yah buat nomornya/ antara hari jumat atau sabtu yah/gaskeun//</w:t>
      </w:r>
    </w:p>
    <w:p w14:paraId="7B1A397D" w14:textId="77777777" w:rsidR="00AB5ED2" w:rsidRDefault="00AB5ED2" w:rsidP="00AB5ED2">
      <w:pPr>
        <w:jc w:val="both"/>
        <w:rPr>
          <w:rFonts w:ascii="Calibri" w:eastAsia="Calibri" w:hAnsi="Calibri" w:cs="Calibri"/>
          <w:b/>
          <w:sz w:val="22"/>
          <w:szCs w:val="22"/>
        </w:rPr>
      </w:pPr>
    </w:p>
    <w:p w14:paraId="7B9E1229" w14:textId="418D73E2" w:rsidR="00AB5ED2" w:rsidRDefault="00AB5ED2" w:rsidP="00AB5ED2">
      <w:pPr>
        <w:ind w:firstLine="720"/>
        <w:jc w:val="both"/>
        <w:rPr>
          <w:rFonts w:ascii="Calibri" w:eastAsia="Calibri" w:hAnsi="Calibri" w:cs="Calibri"/>
          <w:bCs/>
          <w:sz w:val="22"/>
          <w:szCs w:val="22"/>
        </w:rPr>
      </w:pPr>
      <w:r w:rsidRPr="00AB5ED2">
        <w:rPr>
          <w:rFonts w:ascii="Calibri" w:eastAsia="Calibri" w:hAnsi="Calibri" w:cs="Calibri"/>
          <w:bCs/>
          <w:sz w:val="22"/>
          <w:szCs w:val="22"/>
        </w:rPr>
        <w:t xml:space="preserve">On average, host tend to pause every 5-7 words when speaking, resulting in a rate of approximately 132-150 words per minute. These pauses serve as brief intervals for host to gather their thoughts, emphasize certain points, or allow for better comprehension by the listener. The frequency of these pauses may vary depending on factors such as the speaker's fluency, familiarity with the topic. The sound level recorded was up to 87.5 decibels.  </w:t>
      </w:r>
    </w:p>
    <w:p w14:paraId="5930B3C3" w14:textId="1F9C2CD1" w:rsidR="00BF0EBE" w:rsidRDefault="00BF0EBE" w:rsidP="00AB5ED2">
      <w:pPr>
        <w:ind w:firstLine="720"/>
        <w:jc w:val="both"/>
        <w:rPr>
          <w:rFonts w:ascii="Calibri" w:eastAsia="Calibri" w:hAnsi="Calibri" w:cs="Calibri"/>
          <w:bCs/>
          <w:sz w:val="22"/>
          <w:szCs w:val="22"/>
        </w:rPr>
      </w:pPr>
    </w:p>
    <w:p w14:paraId="45700825" w14:textId="75F55273" w:rsidR="00BF0EBE" w:rsidRDefault="00BF0EBE" w:rsidP="00AB5ED2">
      <w:pPr>
        <w:ind w:firstLine="720"/>
        <w:jc w:val="both"/>
        <w:rPr>
          <w:rFonts w:ascii="Calibri" w:eastAsia="Calibri" w:hAnsi="Calibri" w:cs="Calibri"/>
          <w:bCs/>
          <w:sz w:val="22"/>
          <w:szCs w:val="22"/>
        </w:rPr>
      </w:pPr>
    </w:p>
    <w:p w14:paraId="5F68EBE7" w14:textId="572EECEF" w:rsidR="00BF0EBE" w:rsidRDefault="00BF0EBE" w:rsidP="00AB5ED2">
      <w:pPr>
        <w:ind w:firstLine="720"/>
        <w:jc w:val="both"/>
        <w:rPr>
          <w:rFonts w:ascii="Calibri" w:eastAsia="Calibri" w:hAnsi="Calibri" w:cs="Calibri"/>
          <w:bCs/>
          <w:sz w:val="22"/>
          <w:szCs w:val="22"/>
        </w:rPr>
      </w:pPr>
    </w:p>
    <w:p w14:paraId="3E447BDE" w14:textId="77777777" w:rsidR="00BF0EBE" w:rsidRDefault="00BF0EBE" w:rsidP="00AB5ED2">
      <w:pPr>
        <w:ind w:firstLine="720"/>
        <w:jc w:val="both"/>
        <w:rPr>
          <w:rFonts w:ascii="Calibri" w:eastAsia="Calibri" w:hAnsi="Calibri" w:cs="Calibri"/>
          <w:bCs/>
          <w:sz w:val="22"/>
          <w:szCs w:val="22"/>
        </w:rPr>
      </w:pPr>
    </w:p>
    <w:p w14:paraId="530C2272" w14:textId="0EFA2FF3" w:rsidR="00BF0EBE" w:rsidRPr="008B6717" w:rsidRDefault="00BF0EBE" w:rsidP="00BF0EBE">
      <w:pPr>
        <w:jc w:val="center"/>
        <w:rPr>
          <w:rFonts w:ascii="Calibri" w:eastAsia="Calibri" w:hAnsi="Calibri" w:cs="Calibri"/>
          <w:bCs/>
        </w:rPr>
      </w:pPr>
      <w:bookmarkStart w:id="2" w:name="_Hlk152161133"/>
      <w:r w:rsidRPr="008B6717">
        <w:rPr>
          <w:rFonts w:ascii="Calibri" w:eastAsia="Calibri" w:hAnsi="Calibri" w:cs="Calibri"/>
          <w:bCs/>
        </w:rPr>
        <w:lastRenderedPageBreak/>
        <w:t xml:space="preserve">Table </w:t>
      </w:r>
      <w:r w:rsidR="0089024C">
        <w:rPr>
          <w:rFonts w:ascii="Calibri" w:eastAsia="Calibri" w:hAnsi="Calibri" w:cs="Calibri"/>
          <w:bCs/>
        </w:rPr>
        <w:t>3</w:t>
      </w:r>
      <w:r w:rsidRPr="008B6717">
        <w:rPr>
          <w:rFonts w:ascii="Calibri" w:eastAsia="Calibri" w:hAnsi="Calibri" w:cs="Calibri"/>
          <w:bCs/>
        </w:rPr>
        <w:t>.</w:t>
      </w:r>
      <w:r>
        <w:rPr>
          <w:rFonts w:ascii="Calibri" w:eastAsia="Calibri" w:hAnsi="Calibri" w:cs="Calibri"/>
          <w:bCs/>
        </w:rPr>
        <w:t xml:space="preserve"> D</w:t>
      </w:r>
      <w:r w:rsidRPr="008B6717">
        <w:rPr>
          <w:rFonts w:ascii="Calibri" w:eastAsia="Calibri" w:hAnsi="Calibri" w:cs="Calibri"/>
          <w:bCs/>
        </w:rPr>
        <w:t xml:space="preserve">elivery </w:t>
      </w:r>
      <w:r>
        <w:rPr>
          <w:rFonts w:ascii="Calibri" w:eastAsia="Calibri" w:hAnsi="Calibri" w:cs="Calibri"/>
          <w:bCs/>
        </w:rPr>
        <w:t>M</w:t>
      </w:r>
      <w:r w:rsidRPr="008B6717">
        <w:rPr>
          <w:rFonts w:ascii="Calibri" w:eastAsia="Calibri" w:hAnsi="Calibri" w:cs="Calibri"/>
          <w:bCs/>
        </w:rPr>
        <w:t>ethods</w:t>
      </w:r>
      <w:r>
        <w:rPr>
          <w:rFonts w:ascii="Calibri" w:eastAsia="Calibri" w:hAnsi="Calibri" w:cs="Calibri"/>
          <w:bCs/>
        </w:rPr>
        <w:t xml:space="preserve"> of </w:t>
      </w:r>
      <w:r w:rsidR="0089024C">
        <w:rPr>
          <w:rFonts w:asciiTheme="minorHAnsi" w:eastAsia="Calibri" w:hAnsiTheme="minorHAnsi" w:cstheme="minorHAnsi"/>
          <w:bCs/>
          <w:lang w:val="en-ID"/>
        </w:rPr>
        <w:t>Moslem Limited’</w:t>
      </w:r>
      <w:r>
        <w:rPr>
          <w:rFonts w:asciiTheme="minorHAnsi" w:eastAsia="Calibri" w:hAnsiTheme="minorHAnsi" w:cstheme="minorHAnsi"/>
          <w:bCs/>
          <w:lang w:val="en-ID"/>
        </w:rPr>
        <w:t>s Host</w:t>
      </w:r>
    </w:p>
    <w:tbl>
      <w:tblPr>
        <w:tblStyle w:val="TableGrid0"/>
        <w:tblW w:w="0" w:type="auto"/>
        <w:jc w:val="center"/>
        <w:tblInd w:w="0" w:type="dxa"/>
        <w:tblLayout w:type="fixed"/>
        <w:tblCellMar>
          <w:top w:w="53" w:type="dxa"/>
          <w:left w:w="0" w:type="dxa"/>
          <w:bottom w:w="0" w:type="dxa"/>
          <w:right w:w="56" w:type="dxa"/>
        </w:tblCellMar>
        <w:tblLook w:val="04A0" w:firstRow="1" w:lastRow="0" w:firstColumn="1" w:lastColumn="0" w:noHBand="0" w:noVBand="1"/>
      </w:tblPr>
      <w:tblGrid>
        <w:gridCol w:w="1739"/>
        <w:gridCol w:w="2161"/>
        <w:gridCol w:w="2166"/>
        <w:gridCol w:w="922"/>
      </w:tblGrid>
      <w:tr w:rsidR="007865C3" w:rsidRPr="00AB5ED2" w14:paraId="672EE823" w14:textId="77777777" w:rsidTr="00BF0EBE">
        <w:trPr>
          <w:trHeight w:val="251"/>
          <w:jc w:val="center"/>
        </w:trPr>
        <w:tc>
          <w:tcPr>
            <w:tcW w:w="6988" w:type="dxa"/>
            <w:gridSpan w:val="4"/>
            <w:tcBorders>
              <w:top w:val="single" w:sz="4" w:space="0" w:color="000000"/>
              <w:left w:val="single" w:sz="4" w:space="0" w:color="000000"/>
              <w:bottom w:val="single" w:sz="4" w:space="0" w:color="000000"/>
              <w:right w:val="single" w:sz="4" w:space="0" w:color="000000"/>
            </w:tcBorders>
          </w:tcPr>
          <w:bookmarkEnd w:id="2"/>
          <w:p w14:paraId="0816A119" w14:textId="73168231" w:rsidR="007865C3" w:rsidRPr="00AB5ED2" w:rsidRDefault="007865C3" w:rsidP="007865C3">
            <w:pPr>
              <w:spacing w:after="160" w:line="259" w:lineRule="auto"/>
              <w:jc w:val="center"/>
              <w:rPr>
                <w:rFonts w:eastAsia="Calibri" w:cs="Calibri"/>
                <w:color w:val="000000"/>
                <w:sz w:val="24"/>
              </w:rPr>
            </w:pPr>
            <w:r w:rsidRPr="00AB5ED2">
              <w:rPr>
                <w:rFonts w:eastAsia="Calibri" w:cs="Calibri"/>
                <w:color w:val="000000"/>
                <w:sz w:val="24"/>
              </w:rPr>
              <w:t>Moslem</w:t>
            </w:r>
            <w:r>
              <w:rPr>
                <w:rFonts w:eastAsia="Calibri" w:cs="Calibri"/>
                <w:color w:val="000000"/>
                <w:sz w:val="24"/>
              </w:rPr>
              <w:t xml:space="preserve"> </w:t>
            </w:r>
            <w:r w:rsidRPr="00AB5ED2">
              <w:rPr>
                <w:rFonts w:eastAsia="Calibri" w:cs="Calibri"/>
                <w:color w:val="000000"/>
                <w:sz w:val="24"/>
              </w:rPr>
              <w:t>Limited</w:t>
            </w:r>
          </w:p>
        </w:tc>
      </w:tr>
      <w:tr w:rsidR="00BF0EBE" w:rsidRPr="00AB5ED2" w14:paraId="513521EA" w14:textId="77777777" w:rsidTr="00BF0EBE">
        <w:trPr>
          <w:trHeight w:val="252"/>
          <w:jc w:val="center"/>
        </w:trPr>
        <w:tc>
          <w:tcPr>
            <w:tcW w:w="1739" w:type="dxa"/>
            <w:vMerge w:val="restart"/>
            <w:tcBorders>
              <w:top w:val="single" w:sz="4" w:space="0" w:color="000000"/>
              <w:left w:val="single" w:sz="4" w:space="0" w:color="000000"/>
              <w:bottom w:val="single" w:sz="4" w:space="0" w:color="000000"/>
              <w:right w:val="single" w:sz="4" w:space="0" w:color="000000"/>
            </w:tcBorders>
          </w:tcPr>
          <w:p w14:paraId="0D8C7F6D" w14:textId="77777777" w:rsidR="00AB5ED2" w:rsidRPr="00AB5ED2" w:rsidRDefault="00AB5ED2" w:rsidP="00AB5ED2">
            <w:pPr>
              <w:spacing w:line="259" w:lineRule="auto"/>
              <w:ind w:left="142"/>
              <w:rPr>
                <w:rFonts w:eastAsia="Calibri" w:cs="Calibri"/>
                <w:color w:val="000000"/>
                <w:sz w:val="24"/>
              </w:rPr>
            </w:pPr>
            <w:r w:rsidRPr="00AB5ED2">
              <w:rPr>
                <w:rFonts w:eastAsia="Calibri" w:cs="Calibri"/>
                <w:color w:val="000000"/>
                <w:sz w:val="24"/>
              </w:rPr>
              <w:t xml:space="preserve">Physical Appearance </w:t>
            </w:r>
          </w:p>
        </w:tc>
        <w:tc>
          <w:tcPr>
            <w:tcW w:w="2161" w:type="dxa"/>
            <w:tcBorders>
              <w:top w:val="single" w:sz="4" w:space="0" w:color="000000"/>
              <w:left w:val="single" w:sz="4" w:space="0" w:color="000000"/>
              <w:bottom w:val="single" w:sz="4" w:space="0" w:color="000000"/>
              <w:right w:val="single" w:sz="4" w:space="0" w:color="000000"/>
            </w:tcBorders>
          </w:tcPr>
          <w:p w14:paraId="620143F9" w14:textId="77777777" w:rsidR="00AB5ED2" w:rsidRPr="00AB5ED2" w:rsidRDefault="00AB5ED2" w:rsidP="00AB5ED2">
            <w:pPr>
              <w:spacing w:line="259" w:lineRule="auto"/>
              <w:ind w:left="148"/>
              <w:rPr>
                <w:rFonts w:eastAsia="Calibri" w:cs="Calibri"/>
                <w:color w:val="000000"/>
                <w:sz w:val="24"/>
              </w:rPr>
            </w:pPr>
            <w:r w:rsidRPr="00AB5ED2">
              <w:rPr>
                <w:rFonts w:eastAsia="Calibri" w:cs="Calibri"/>
                <w:color w:val="000000"/>
                <w:sz w:val="24"/>
              </w:rPr>
              <w:t xml:space="preserve">Style </w:t>
            </w:r>
          </w:p>
        </w:tc>
        <w:tc>
          <w:tcPr>
            <w:tcW w:w="3086" w:type="dxa"/>
            <w:gridSpan w:val="2"/>
            <w:tcBorders>
              <w:top w:val="single" w:sz="4" w:space="0" w:color="000000"/>
              <w:left w:val="single" w:sz="4" w:space="0" w:color="000000"/>
              <w:bottom w:val="single" w:sz="4" w:space="0" w:color="000000"/>
              <w:right w:val="single" w:sz="4" w:space="0" w:color="000000"/>
            </w:tcBorders>
          </w:tcPr>
          <w:p w14:paraId="65999D51" w14:textId="77777777" w:rsidR="00AB5ED2" w:rsidRPr="00AB5ED2" w:rsidRDefault="00AB5ED2" w:rsidP="00AB5ED2">
            <w:pPr>
              <w:spacing w:line="259" w:lineRule="auto"/>
              <w:ind w:left="97"/>
              <w:rPr>
                <w:rFonts w:eastAsia="Calibri" w:cs="Calibri"/>
                <w:color w:val="000000"/>
                <w:sz w:val="24"/>
              </w:rPr>
            </w:pPr>
            <w:r w:rsidRPr="00AB5ED2">
              <w:rPr>
                <w:rFonts w:eastAsia="Calibri" w:cs="Calibri"/>
                <w:color w:val="000000"/>
                <w:sz w:val="24"/>
              </w:rPr>
              <w:t xml:space="preserve">Casual  </w:t>
            </w:r>
          </w:p>
        </w:tc>
      </w:tr>
      <w:tr w:rsidR="00BF0EBE" w:rsidRPr="00AB5ED2" w14:paraId="1A7FF71E" w14:textId="77777777" w:rsidTr="00BF0EBE">
        <w:trPr>
          <w:trHeight w:val="264"/>
          <w:jc w:val="center"/>
        </w:trPr>
        <w:tc>
          <w:tcPr>
            <w:tcW w:w="1739" w:type="dxa"/>
            <w:vMerge/>
            <w:tcBorders>
              <w:top w:val="nil"/>
              <w:left w:val="single" w:sz="4" w:space="0" w:color="000000"/>
              <w:bottom w:val="nil"/>
              <w:right w:val="single" w:sz="4" w:space="0" w:color="000000"/>
            </w:tcBorders>
          </w:tcPr>
          <w:p w14:paraId="7E62E0A6" w14:textId="77777777" w:rsidR="00AB5ED2" w:rsidRPr="00AB5ED2" w:rsidRDefault="00AB5ED2" w:rsidP="00AB5ED2">
            <w:pPr>
              <w:spacing w:after="160" w:line="259" w:lineRule="auto"/>
              <w:rPr>
                <w:rFonts w:eastAsia="Calibri" w:cs="Calibri"/>
                <w:color w:val="000000"/>
                <w:sz w:val="24"/>
              </w:rPr>
            </w:pPr>
          </w:p>
        </w:tc>
        <w:tc>
          <w:tcPr>
            <w:tcW w:w="2161" w:type="dxa"/>
            <w:tcBorders>
              <w:top w:val="single" w:sz="4" w:space="0" w:color="000000"/>
              <w:left w:val="single" w:sz="4" w:space="0" w:color="000000"/>
              <w:bottom w:val="single" w:sz="4" w:space="0" w:color="000000"/>
              <w:right w:val="single" w:sz="4" w:space="0" w:color="000000"/>
            </w:tcBorders>
          </w:tcPr>
          <w:p w14:paraId="32514DEC" w14:textId="77777777" w:rsidR="00AB5ED2" w:rsidRPr="00AB5ED2" w:rsidRDefault="00AB5ED2" w:rsidP="00AB5ED2">
            <w:pPr>
              <w:spacing w:line="259" w:lineRule="auto"/>
              <w:ind w:left="148"/>
              <w:rPr>
                <w:rFonts w:eastAsia="Calibri" w:cs="Calibri"/>
                <w:color w:val="000000"/>
                <w:sz w:val="24"/>
              </w:rPr>
            </w:pPr>
            <w:r w:rsidRPr="00AB5ED2">
              <w:rPr>
                <w:rFonts w:eastAsia="Calibri" w:cs="Calibri"/>
                <w:color w:val="000000"/>
                <w:sz w:val="24"/>
              </w:rPr>
              <w:t xml:space="preserve">Gesture </w:t>
            </w:r>
          </w:p>
        </w:tc>
        <w:tc>
          <w:tcPr>
            <w:tcW w:w="3086" w:type="dxa"/>
            <w:gridSpan w:val="2"/>
            <w:tcBorders>
              <w:top w:val="single" w:sz="4" w:space="0" w:color="000000"/>
              <w:left w:val="single" w:sz="4" w:space="0" w:color="000000"/>
              <w:bottom w:val="single" w:sz="4" w:space="0" w:color="000000"/>
              <w:right w:val="single" w:sz="4" w:space="0" w:color="000000"/>
            </w:tcBorders>
          </w:tcPr>
          <w:p w14:paraId="742715E5" w14:textId="77777777" w:rsidR="00AB5ED2" w:rsidRPr="00AB5ED2" w:rsidRDefault="00AB5ED2" w:rsidP="00AB5ED2">
            <w:pPr>
              <w:spacing w:line="259" w:lineRule="auto"/>
              <w:ind w:left="97"/>
              <w:rPr>
                <w:rFonts w:eastAsia="Calibri" w:cs="Calibri"/>
                <w:color w:val="000000"/>
                <w:sz w:val="24"/>
              </w:rPr>
            </w:pPr>
            <w:r w:rsidRPr="00AB5ED2">
              <w:rPr>
                <w:rFonts w:eastAsia="Calibri" w:cs="Calibri"/>
                <w:color w:val="000000"/>
                <w:sz w:val="24"/>
              </w:rPr>
              <w:t xml:space="preserve">Muslim Greeting Hand </w:t>
            </w:r>
          </w:p>
        </w:tc>
      </w:tr>
      <w:tr w:rsidR="00BF0EBE" w:rsidRPr="00AB5ED2" w14:paraId="5C9D76CE" w14:textId="77777777" w:rsidTr="00BF0EBE">
        <w:trPr>
          <w:trHeight w:val="251"/>
          <w:jc w:val="center"/>
        </w:trPr>
        <w:tc>
          <w:tcPr>
            <w:tcW w:w="1739" w:type="dxa"/>
            <w:vMerge/>
            <w:tcBorders>
              <w:top w:val="nil"/>
              <w:left w:val="single" w:sz="4" w:space="0" w:color="000000"/>
              <w:bottom w:val="single" w:sz="4" w:space="0" w:color="000000"/>
              <w:right w:val="single" w:sz="4" w:space="0" w:color="000000"/>
            </w:tcBorders>
          </w:tcPr>
          <w:p w14:paraId="3A37F65E" w14:textId="77777777" w:rsidR="00AB5ED2" w:rsidRPr="00AB5ED2" w:rsidRDefault="00AB5ED2" w:rsidP="00AB5ED2">
            <w:pPr>
              <w:spacing w:after="160" w:line="259" w:lineRule="auto"/>
              <w:rPr>
                <w:rFonts w:eastAsia="Calibri" w:cs="Calibri"/>
                <w:color w:val="000000"/>
                <w:sz w:val="24"/>
              </w:rPr>
            </w:pPr>
          </w:p>
        </w:tc>
        <w:tc>
          <w:tcPr>
            <w:tcW w:w="2161" w:type="dxa"/>
            <w:tcBorders>
              <w:top w:val="single" w:sz="4" w:space="0" w:color="000000"/>
              <w:left w:val="single" w:sz="4" w:space="0" w:color="000000"/>
              <w:bottom w:val="single" w:sz="4" w:space="0" w:color="000000"/>
              <w:right w:val="single" w:sz="4" w:space="0" w:color="000000"/>
            </w:tcBorders>
          </w:tcPr>
          <w:p w14:paraId="0FF33E08" w14:textId="77777777" w:rsidR="00AB5ED2" w:rsidRPr="00AB5ED2" w:rsidRDefault="00AB5ED2" w:rsidP="00AB5ED2">
            <w:pPr>
              <w:spacing w:line="259" w:lineRule="auto"/>
              <w:ind w:left="148"/>
              <w:rPr>
                <w:rFonts w:eastAsia="Calibri" w:cs="Calibri"/>
                <w:color w:val="000000"/>
                <w:sz w:val="24"/>
              </w:rPr>
            </w:pPr>
            <w:r w:rsidRPr="00AB5ED2">
              <w:rPr>
                <w:rFonts w:eastAsia="Calibri" w:cs="Calibri"/>
                <w:color w:val="000000"/>
                <w:sz w:val="24"/>
              </w:rPr>
              <w:t xml:space="preserve">Non-Verbal Cues </w:t>
            </w:r>
          </w:p>
        </w:tc>
        <w:tc>
          <w:tcPr>
            <w:tcW w:w="3086" w:type="dxa"/>
            <w:gridSpan w:val="2"/>
            <w:tcBorders>
              <w:top w:val="single" w:sz="4" w:space="0" w:color="000000"/>
              <w:left w:val="single" w:sz="4" w:space="0" w:color="000000"/>
              <w:bottom w:val="single" w:sz="4" w:space="0" w:color="000000"/>
              <w:right w:val="single" w:sz="4" w:space="0" w:color="000000"/>
            </w:tcBorders>
          </w:tcPr>
          <w:p w14:paraId="019F7022" w14:textId="77777777" w:rsidR="00AB5ED2" w:rsidRPr="00AB5ED2" w:rsidRDefault="00AB5ED2" w:rsidP="00AB5ED2">
            <w:pPr>
              <w:spacing w:line="259" w:lineRule="auto"/>
              <w:ind w:left="97"/>
              <w:rPr>
                <w:rFonts w:eastAsia="Calibri" w:cs="Calibri"/>
                <w:color w:val="000000"/>
                <w:sz w:val="24"/>
              </w:rPr>
            </w:pPr>
            <w:r w:rsidRPr="00AB5ED2">
              <w:rPr>
                <w:rFonts w:eastAsia="Calibri" w:cs="Calibri"/>
                <w:color w:val="000000"/>
                <w:sz w:val="24"/>
              </w:rPr>
              <w:t xml:space="preserve">No Specific </w:t>
            </w:r>
          </w:p>
        </w:tc>
      </w:tr>
      <w:tr w:rsidR="00AB5ED2" w:rsidRPr="00AB5ED2" w14:paraId="0A359E7A" w14:textId="77777777" w:rsidTr="00BF0EBE">
        <w:trPr>
          <w:trHeight w:val="252"/>
          <w:jc w:val="center"/>
        </w:trPr>
        <w:tc>
          <w:tcPr>
            <w:tcW w:w="1739" w:type="dxa"/>
            <w:vMerge w:val="restart"/>
            <w:tcBorders>
              <w:top w:val="single" w:sz="4" w:space="0" w:color="000000"/>
              <w:left w:val="single" w:sz="4" w:space="0" w:color="000000"/>
              <w:right w:val="single" w:sz="4" w:space="0" w:color="000000"/>
            </w:tcBorders>
          </w:tcPr>
          <w:p w14:paraId="1FE3AE5B" w14:textId="77777777" w:rsidR="00AB5ED2" w:rsidRPr="00AB5ED2" w:rsidRDefault="00AB5ED2" w:rsidP="00AB5ED2">
            <w:pPr>
              <w:spacing w:line="259" w:lineRule="auto"/>
              <w:ind w:left="142"/>
              <w:rPr>
                <w:rFonts w:eastAsia="Calibri" w:cs="Calibri"/>
                <w:color w:val="000000"/>
                <w:sz w:val="24"/>
              </w:rPr>
            </w:pPr>
            <w:r w:rsidRPr="00AB5ED2">
              <w:rPr>
                <w:rFonts w:eastAsia="Calibri" w:cs="Calibri"/>
                <w:color w:val="000000"/>
                <w:sz w:val="24"/>
              </w:rPr>
              <w:t xml:space="preserve">Vocal Characteristics </w:t>
            </w:r>
          </w:p>
        </w:tc>
        <w:tc>
          <w:tcPr>
            <w:tcW w:w="2161" w:type="dxa"/>
            <w:tcBorders>
              <w:top w:val="single" w:sz="4" w:space="0" w:color="000000"/>
              <w:left w:val="single" w:sz="4" w:space="0" w:color="000000"/>
              <w:bottom w:val="single" w:sz="4" w:space="0" w:color="000000"/>
              <w:right w:val="single" w:sz="4" w:space="0" w:color="000000"/>
            </w:tcBorders>
          </w:tcPr>
          <w:p w14:paraId="7CA49F1D" w14:textId="77777777" w:rsidR="00AB5ED2" w:rsidRPr="00AB5ED2" w:rsidRDefault="00AB5ED2" w:rsidP="00AB5ED2">
            <w:pPr>
              <w:spacing w:line="259" w:lineRule="auto"/>
              <w:ind w:left="148"/>
              <w:rPr>
                <w:rFonts w:eastAsia="Calibri" w:cs="Calibri"/>
                <w:color w:val="000000"/>
                <w:sz w:val="24"/>
              </w:rPr>
            </w:pPr>
            <w:r w:rsidRPr="00AB5ED2">
              <w:rPr>
                <w:rFonts w:eastAsia="Calibri" w:cs="Calibri"/>
                <w:color w:val="000000"/>
                <w:sz w:val="24"/>
              </w:rPr>
              <w:t xml:space="preserve">Voice quality </w:t>
            </w:r>
          </w:p>
        </w:tc>
        <w:tc>
          <w:tcPr>
            <w:tcW w:w="3086" w:type="dxa"/>
            <w:gridSpan w:val="2"/>
            <w:tcBorders>
              <w:top w:val="single" w:sz="4" w:space="0" w:color="000000"/>
              <w:left w:val="single" w:sz="4" w:space="0" w:color="000000"/>
              <w:bottom w:val="single" w:sz="4" w:space="0" w:color="000000"/>
              <w:right w:val="single" w:sz="4" w:space="0" w:color="000000"/>
            </w:tcBorders>
          </w:tcPr>
          <w:p w14:paraId="5279155E" w14:textId="77777777" w:rsidR="00AB5ED2" w:rsidRPr="00AB5ED2" w:rsidRDefault="00AB5ED2" w:rsidP="00AB5ED2">
            <w:pPr>
              <w:spacing w:line="259" w:lineRule="auto"/>
              <w:ind w:left="97"/>
              <w:rPr>
                <w:rFonts w:eastAsia="Calibri" w:cs="Calibri"/>
                <w:color w:val="000000"/>
                <w:sz w:val="24"/>
              </w:rPr>
            </w:pPr>
            <w:r w:rsidRPr="00AB5ED2">
              <w:rPr>
                <w:rFonts w:eastAsia="Calibri" w:cs="Calibri"/>
                <w:color w:val="000000"/>
                <w:sz w:val="24"/>
              </w:rPr>
              <w:t xml:space="preserve">Host: Softness  </w:t>
            </w:r>
          </w:p>
        </w:tc>
      </w:tr>
      <w:tr w:rsidR="00AB5ED2" w:rsidRPr="00AB5ED2" w14:paraId="029CE6AC" w14:textId="77777777" w:rsidTr="00BF0EBE">
        <w:trPr>
          <w:trHeight w:val="251"/>
          <w:jc w:val="center"/>
        </w:trPr>
        <w:tc>
          <w:tcPr>
            <w:tcW w:w="1739" w:type="dxa"/>
            <w:vMerge/>
            <w:tcBorders>
              <w:left w:val="single" w:sz="4" w:space="0" w:color="000000"/>
              <w:right w:val="single" w:sz="4" w:space="0" w:color="000000"/>
            </w:tcBorders>
          </w:tcPr>
          <w:p w14:paraId="460D744E" w14:textId="77777777" w:rsidR="00AB5ED2" w:rsidRPr="00AB5ED2" w:rsidRDefault="00AB5ED2" w:rsidP="00AB5ED2">
            <w:pPr>
              <w:spacing w:after="160" w:line="259" w:lineRule="auto"/>
              <w:rPr>
                <w:rFonts w:eastAsia="Calibri" w:cs="Calibri"/>
                <w:color w:val="000000"/>
                <w:sz w:val="24"/>
              </w:rPr>
            </w:pPr>
          </w:p>
        </w:tc>
        <w:tc>
          <w:tcPr>
            <w:tcW w:w="2161" w:type="dxa"/>
            <w:tcBorders>
              <w:top w:val="single" w:sz="4" w:space="0" w:color="000000"/>
              <w:left w:val="single" w:sz="4" w:space="0" w:color="000000"/>
              <w:bottom w:val="single" w:sz="4" w:space="0" w:color="000000"/>
              <w:right w:val="single" w:sz="4" w:space="0" w:color="000000"/>
            </w:tcBorders>
          </w:tcPr>
          <w:p w14:paraId="0D33A0D7" w14:textId="77777777" w:rsidR="00AB5ED2" w:rsidRPr="00AB5ED2" w:rsidRDefault="00AB5ED2" w:rsidP="00AB5ED2">
            <w:pPr>
              <w:spacing w:line="259" w:lineRule="auto"/>
              <w:ind w:left="148"/>
              <w:rPr>
                <w:rFonts w:eastAsia="Calibri" w:cs="Calibri"/>
                <w:color w:val="000000"/>
                <w:sz w:val="24"/>
              </w:rPr>
            </w:pPr>
            <w:r w:rsidRPr="00AB5ED2">
              <w:rPr>
                <w:rFonts w:eastAsia="Calibri" w:cs="Calibri"/>
                <w:color w:val="000000"/>
                <w:sz w:val="24"/>
              </w:rPr>
              <w:t xml:space="preserve">Speed Speaking Rate </w:t>
            </w:r>
          </w:p>
        </w:tc>
        <w:tc>
          <w:tcPr>
            <w:tcW w:w="3086" w:type="dxa"/>
            <w:gridSpan w:val="2"/>
            <w:tcBorders>
              <w:top w:val="single" w:sz="4" w:space="0" w:color="000000"/>
              <w:left w:val="single" w:sz="4" w:space="0" w:color="000000"/>
              <w:bottom w:val="single" w:sz="4" w:space="0" w:color="000000"/>
              <w:right w:val="single" w:sz="4" w:space="0" w:color="000000"/>
            </w:tcBorders>
          </w:tcPr>
          <w:p w14:paraId="10AE1D0B" w14:textId="77777777" w:rsidR="00AB5ED2" w:rsidRPr="00AB5ED2" w:rsidRDefault="00AB5ED2" w:rsidP="00AB5ED2">
            <w:pPr>
              <w:spacing w:line="259" w:lineRule="auto"/>
              <w:ind w:left="97"/>
              <w:rPr>
                <w:rFonts w:eastAsia="Calibri" w:cs="Calibri"/>
                <w:color w:val="000000"/>
                <w:sz w:val="24"/>
              </w:rPr>
            </w:pPr>
            <w:r w:rsidRPr="00AB5ED2">
              <w:rPr>
                <w:rFonts w:eastAsia="Calibri" w:cs="Calibri"/>
                <w:color w:val="000000"/>
                <w:sz w:val="24"/>
              </w:rPr>
              <w:t xml:space="preserve">132-150 words/ minutes </w:t>
            </w:r>
          </w:p>
        </w:tc>
      </w:tr>
      <w:tr w:rsidR="00AB5ED2" w:rsidRPr="00AB5ED2" w14:paraId="3BC97772" w14:textId="77777777" w:rsidTr="00BF0EBE">
        <w:trPr>
          <w:trHeight w:val="252"/>
          <w:jc w:val="center"/>
        </w:trPr>
        <w:tc>
          <w:tcPr>
            <w:tcW w:w="1739" w:type="dxa"/>
            <w:vMerge/>
            <w:tcBorders>
              <w:left w:val="single" w:sz="4" w:space="0" w:color="000000"/>
              <w:right w:val="single" w:sz="4" w:space="0" w:color="000000"/>
            </w:tcBorders>
          </w:tcPr>
          <w:p w14:paraId="584A0663" w14:textId="77777777" w:rsidR="00AB5ED2" w:rsidRPr="00AB5ED2" w:rsidRDefault="00AB5ED2" w:rsidP="00AB5ED2">
            <w:pPr>
              <w:spacing w:after="160" w:line="259" w:lineRule="auto"/>
              <w:rPr>
                <w:rFonts w:eastAsia="Calibri" w:cs="Calibri"/>
                <w:color w:val="000000"/>
                <w:sz w:val="24"/>
              </w:rPr>
            </w:pPr>
          </w:p>
        </w:tc>
        <w:tc>
          <w:tcPr>
            <w:tcW w:w="2161" w:type="dxa"/>
            <w:tcBorders>
              <w:top w:val="single" w:sz="4" w:space="0" w:color="000000"/>
              <w:left w:val="single" w:sz="4" w:space="0" w:color="000000"/>
              <w:bottom w:val="single" w:sz="4" w:space="0" w:color="000000"/>
              <w:right w:val="single" w:sz="4" w:space="0" w:color="000000"/>
            </w:tcBorders>
          </w:tcPr>
          <w:p w14:paraId="2AE3DCC2" w14:textId="77777777" w:rsidR="00AB5ED2" w:rsidRPr="00AB5ED2" w:rsidRDefault="00AB5ED2" w:rsidP="00AB5ED2">
            <w:pPr>
              <w:spacing w:line="259" w:lineRule="auto"/>
              <w:ind w:left="148"/>
              <w:rPr>
                <w:rFonts w:eastAsia="Calibri" w:cs="Calibri"/>
                <w:color w:val="000000"/>
                <w:sz w:val="24"/>
              </w:rPr>
            </w:pPr>
            <w:r w:rsidRPr="00AB5ED2">
              <w:rPr>
                <w:rFonts w:eastAsia="Calibri" w:cs="Calibri"/>
                <w:color w:val="000000"/>
                <w:sz w:val="24"/>
              </w:rPr>
              <w:t xml:space="preserve">Power </w:t>
            </w:r>
          </w:p>
        </w:tc>
        <w:tc>
          <w:tcPr>
            <w:tcW w:w="3086" w:type="dxa"/>
            <w:gridSpan w:val="2"/>
            <w:tcBorders>
              <w:top w:val="single" w:sz="4" w:space="0" w:color="000000"/>
              <w:left w:val="single" w:sz="4" w:space="0" w:color="000000"/>
              <w:bottom w:val="single" w:sz="4" w:space="0" w:color="000000"/>
              <w:right w:val="single" w:sz="4" w:space="0" w:color="000000"/>
            </w:tcBorders>
          </w:tcPr>
          <w:p w14:paraId="0298D253" w14:textId="77777777" w:rsidR="00AB5ED2" w:rsidRPr="00AB5ED2" w:rsidRDefault="00AB5ED2" w:rsidP="00AB5ED2">
            <w:pPr>
              <w:spacing w:line="259" w:lineRule="auto"/>
              <w:ind w:left="97"/>
              <w:rPr>
                <w:rFonts w:eastAsia="Calibri" w:cs="Calibri"/>
                <w:color w:val="000000"/>
                <w:sz w:val="24"/>
              </w:rPr>
            </w:pPr>
            <w:r w:rsidRPr="00AB5ED2">
              <w:rPr>
                <w:rFonts w:eastAsia="Calibri" w:cs="Calibri"/>
                <w:color w:val="000000"/>
                <w:sz w:val="24"/>
              </w:rPr>
              <w:t xml:space="preserve">85-87.5 db </w:t>
            </w:r>
          </w:p>
        </w:tc>
      </w:tr>
      <w:tr w:rsidR="00AB5ED2" w:rsidRPr="00AB5ED2" w14:paraId="3A41C7E9" w14:textId="77777777" w:rsidTr="00BF0EBE">
        <w:trPr>
          <w:trHeight w:val="251"/>
          <w:jc w:val="center"/>
        </w:trPr>
        <w:tc>
          <w:tcPr>
            <w:tcW w:w="1739" w:type="dxa"/>
            <w:vMerge/>
            <w:tcBorders>
              <w:left w:val="single" w:sz="4" w:space="0" w:color="000000"/>
              <w:right w:val="single" w:sz="4" w:space="0" w:color="000000"/>
            </w:tcBorders>
          </w:tcPr>
          <w:p w14:paraId="3AF81A39" w14:textId="77777777" w:rsidR="00AB5ED2" w:rsidRPr="00AB5ED2" w:rsidRDefault="00AB5ED2" w:rsidP="00AB5ED2">
            <w:pPr>
              <w:spacing w:after="160" w:line="259" w:lineRule="auto"/>
              <w:rPr>
                <w:rFonts w:eastAsia="Calibri" w:cs="Calibri"/>
                <w:color w:val="000000"/>
                <w:sz w:val="24"/>
              </w:rPr>
            </w:pPr>
          </w:p>
        </w:tc>
        <w:tc>
          <w:tcPr>
            <w:tcW w:w="2161" w:type="dxa"/>
            <w:tcBorders>
              <w:top w:val="single" w:sz="4" w:space="0" w:color="000000"/>
              <w:left w:val="single" w:sz="4" w:space="0" w:color="000000"/>
              <w:bottom w:val="single" w:sz="4" w:space="0" w:color="000000"/>
              <w:right w:val="single" w:sz="4" w:space="0" w:color="000000"/>
            </w:tcBorders>
          </w:tcPr>
          <w:p w14:paraId="5B12C3F6" w14:textId="77777777" w:rsidR="00AB5ED2" w:rsidRPr="00AB5ED2" w:rsidRDefault="00AB5ED2" w:rsidP="00AB5ED2">
            <w:pPr>
              <w:spacing w:line="259" w:lineRule="auto"/>
              <w:ind w:left="148"/>
              <w:rPr>
                <w:rFonts w:eastAsia="Calibri" w:cs="Calibri"/>
                <w:color w:val="000000"/>
                <w:sz w:val="24"/>
              </w:rPr>
            </w:pPr>
            <w:r w:rsidRPr="00AB5ED2">
              <w:rPr>
                <w:rFonts w:eastAsia="Calibri" w:cs="Calibri"/>
                <w:color w:val="000000"/>
                <w:sz w:val="24"/>
              </w:rPr>
              <w:t xml:space="preserve">Pauses </w:t>
            </w:r>
          </w:p>
        </w:tc>
        <w:tc>
          <w:tcPr>
            <w:tcW w:w="3086" w:type="dxa"/>
            <w:gridSpan w:val="2"/>
            <w:tcBorders>
              <w:top w:val="single" w:sz="4" w:space="0" w:color="000000"/>
              <w:left w:val="single" w:sz="4" w:space="0" w:color="000000"/>
              <w:bottom w:val="single" w:sz="4" w:space="0" w:color="000000"/>
              <w:right w:val="single" w:sz="4" w:space="0" w:color="000000"/>
            </w:tcBorders>
          </w:tcPr>
          <w:p w14:paraId="79F4AA9A" w14:textId="77777777" w:rsidR="00AB5ED2" w:rsidRPr="00AB5ED2" w:rsidRDefault="00AB5ED2" w:rsidP="00AB5ED2">
            <w:pPr>
              <w:spacing w:line="259" w:lineRule="auto"/>
              <w:ind w:left="97"/>
              <w:rPr>
                <w:rFonts w:eastAsia="Calibri" w:cs="Calibri"/>
                <w:color w:val="000000"/>
                <w:sz w:val="24"/>
              </w:rPr>
            </w:pPr>
            <w:r w:rsidRPr="00AB5ED2">
              <w:rPr>
                <w:rFonts w:eastAsia="Calibri" w:cs="Calibri"/>
                <w:color w:val="000000"/>
                <w:sz w:val="24"/>
              </w:rPr>
              <w:t xml:space="preserve">5 words </w:t>
            </w:r>
          </w:p>
        </w:tc>
      </w:tr>
      <w:tr w:rsidR="00AB5ED2" w:rsidRPr="00AB5ED2" w14:paraId="2CE9E5D1" w14:textId="77777777" w:rsidTr="00BF0EBE">
        <w:trPr>
          <w:trHeight w:val="353"/>
          <w:jc w:val="center"/>
        </w:trPr>
        <w:tc>
          <w:tcPr>
            <w:tcW w:w="1739" w:type="dxa"/>
            <w:vMerge/>
            <w:tcBorders>
              <w:left w:val="single" w:sz="4" w:space="0" w:color="000000"/>
              <w:right w:val="single" w:sz="4" w:space="0" w:color="000000"/>
            </w:tcBorders>
          </w:tcPr>
          <w:p w14:paraId="089F1A21" w14:textId="77777777" w:rsidR="00AB5ED2" w:rsidRPr="00AB5ED2" w:rsidRDefault="00AB5ED2" w:rsidP="00AB5ED2">
            <w:pPr>
              <w:spacing w:after="160" w:line="259" w:lineRule="auto"/>
              <w:rPr>
                <w:rFonts w:eastAsia="Calibri" w:cs="Calibri"/>
                <w:color w:val="000000"/>
                <w:sz w:val="24"/>
              </w:rPr>
            </w:pPr>
          </w:p>
        </w:tc>
        <w:tc>
          <w:tcPr>
            <w:tcW w:w="2161" w:type="dxa"/>
            <w:tcBorders>
              <w:top w:val="single" w:sz="4" w:space="0" w:color="000000"/>
              <w:left w:val="single" w:sz="4" w:space="0" w:color="000000"/>
              <w:bottom w:val="single" w:sz="4" w:space="0" w:color="000000"/>
              <w:right w:val="single" w:sz="4" w:space="0" w:color="000000"/>
            </w:tcBorders>
          </w:tcPr>
          <w:p w14:paraId="5ABA075A" w14:textId="77777777" w:rsidR="00AB5ED2" w:rsidRPr="00AB5ED2" w:rsidRDefault="00AB5ED2" w:rsidP="00AB5ED2">
            <w:pPr>
              <w:spacing w:line="259" w:lineRule="auto"/>
              <w:ind w:left="148"/>
              <w:rPr>
                <w:rFonts w:eastAsia="Calibri" w:cs="Calibri"/>
                <w:color w:val="000000"/>
                <w:sz w:val="24"/>
              </w:rPr>
            </w:pPr>
            <w:r w:rsidRPr="00AB5ED2">
              <w:rPr>
                <w:rFonts w:eastAsia="Calibri" w:cs="Calibri"/>
                <w:color w:val="000000"/>
                <w:sz w:val="24"/>
              </w:rPr>
              <w:t xml:space="preserve">Intonation  </w:t>
            </w:r>
          </w:p>
        </w:tc>
        <w:tc>
          <w:tcPr>
            <w:tcW w:w="3086" w:type="dxa"/>
            <w:gridSpan w:val="2"/>
            <w:tcBorders>
              <w:top w:val="single" w:sz="4" w:space="0" w:color="000000"/>
              <w:left w:val="single" w:sz="4" w:space="0" w:color="000000"/>
              <w:bottom w:val="single" w:sz="4" w:space="0" w:color="000000"/>
              <w:right w:val="single" w:sz="4" w:space="0" w:color="000000"/>
            </w:tcBorders>
          </w:tcPr>
          <w:p w14:paraId="2DB8FDB5" w14:textId="77777777" w:rsidR="00AB5ED2" w:rsidRPr="00AB5ED2" w:rsidRDefault="00AB5ED2" w:rsidP="00AB5ED2">
            <w:pPr>
              <w:spacing w:line="259" w:lineRule="auto"/>
              <w:ind w:left="97" w:right="397"/>
              <w:jc w:val="both"/>
              <w:rPr>
                <w:rFonts w:eastAsia="Calibri" w:cs="Calibri"/>
                <w:color w:val="000000"/>
                <w:sz w:val="24"/>
              </w:rPr>
            </w:pPr>
            <w:r w:rsidRPr="00AB5ED2">
              <w:rPr>
                <w:rFonts w:eastAsia="Calibri" w:cs="Calibri"/>
                <w:color w:val="000000"/>
                <w:sz w:val="24"/>
              </w:rPr>
              <w:t xml:space="preserve">Dynamic – slow Dynamic- fast </w:t>
            </w:r>
          </w:p>
        </w:tc>
      </w:tr>
      <w:tr w:rsidR="00AB5ED2" w:rsidRPr="00AB5ED2" w14:paraId="1C39EFBC" w14:textId="77777777" w:rsidTr="00BF0EBE">
        <w:trPr>
          <w:trHeight w:val="251"/>
          <w:jc w:val="center"/>
        </w:trPr>
        <w:tc>
          <w:tcPr>
            <w:tcW w:w="1739" w:type="dxa"/>
            <w:vMerge/>
            <w:tcBorders>
              <w:left w:val="single" w:sz="4" w:space="0" w:color="000000"/>
              <w:right w:val="single" w:sz="4" w:space="0" w:color="000000"/>
            </w:tcBorders>
          </w:tcPr>
          <w:p w14:paraId="24224D55" w14:textId="77777777" w:rsidR="00AB5ED2" w:rsidRPr="00AB5ED2" w:rsidRDefault="00AB5ED2" w:rsidP="00AB5ED2">
            <w:pPr>
              <w:spacing w:after="160" w:line="259" w:lineRule="auto"/>
              <w:rPr>
                <w:rFonts w:eastAsia="Calibri" w:cs="Calibri"/>
                <w:color w:val="000000"/>
                <w:sz w:val="24"/>
              </w:rPr>
            </w:pPr>
          </w:p>
        </w:tc>
        <w:tc>
          <w:tcPr>
            <w:tcW w:w="2161" w:type="dxa"/>
            <w:tcBorders>
              <w:top w:val="single" w:sz="4" w:space="0" w:color="000000"/>
              <w:left w:val="single" w:sz="4" w:space="0" w:color="000000"/>
              <w:bottom w:val="single" w:sz="4" w:space="0" w:color="000000"/>
              <w:right w:val="single" w:sz="4" w:space="0" w:color="000000"/>
            </w:tcBorders>
          </w:tcPr>
          <w:p w14:paraId="52FD7784" w14:textId="77777777" w:rsidR="00AB5ED2" w:rsidRPr="00AB5ED2" w:rsidRDefault="00AB5ED2" w:rsidP="00AB5ED2">
            <w:pPr>
              <w:spacing w:line="259" w:lineRule="auto"/>
              <w:ind w:left="108"/>
              <w:rPr>
                <w:rFonts w:eastAsia="Calibri" w:cs="Calibri"/>
                <w:color w:val="000000"/>
                <w:sz w:val="24"/>
              </w:rPr>
            </w:pPr>
            <w:r w:rsidRPr="00AB5ED2">
              <w:rPr>
                <w:rFonts w:eastAsia="Calibri" w:cs="Calibri"/>
                <w:color w:val="000000"/>
                <w:sz w:val="24"/>
              </w:rPr>
              <w:t xml:space="preserve">Accent </w:t>
            </w:r>
          </w:p>
        </w:tc>
        <w:tc>
          <w:tcPr>
            <w:tcW w:w="2166" w:type="dxa"/>
            <w:tcBorders>
              <w:top w:val="single" w:sz="4" w:space="0" w:color="000000"/>
              <w:left w:val="single" w:sz="4" w:space="0" w:color="000000"/>
              <w:bottom w:val="single" w:sz="4" w:space="0" w:color="000000"/>
              <w:right w:val="nil"/>
            </w:tcBorders>
          </w:tcPr>
          <w:p w14:paraId="6175A1A8" w14:textId="4F83D129" w:rsidR="00AB5ED2" w:rsidRPr="00AB5ED2" w:rsidRDefault="00AB5ED2" w:rsidP="00AB5ED2">
            <w:pPr>
              <w:spacing w:after="160" w:line="259" w:lineRule="auto"/>
              <w:ind w:left="97"/>
              <w:rPr>
                <w:rFonts w:eastAsia="Calibri" w:cs="Calibri"/>
                <w:color w:val="000000"/>
                <w:sz w:val="24"/>
              </w:rPr>
            </w:pPr>
            <w:r w:rsidRPr="00AB5ED2">
              <w:rPr>
                <w:rFonts w:eastAsia="Calibri" w:cs="Calibri"/>
                <w:color w:val="000000"/>
                <w:sz w:val="24"/>
              </w:rPr>
              <w:t xml:space="preserve">Sundanese </w:t>
            </w:r>
          </w:p>
        </w:tc>
        <w:tc>
          <w:tcPr>
            <w:tcW w:w="920" w:type="dxa"/>
            <w:tcBorders>
              <w:top w:val="single" w:sz="4" w:space="0" w:color="000000"/>
              <w:left w:val="nil"/>
              <w:bottom w:val="single" w:sz="4" w:space="0" w:color="000000"/>
              <w:right w:val="single" w:sz="4" w:space="0" w:color="000000"/>
            </w:tcBorders>
          </w:tcPr>
          <w:p w14:paraId="78C798B2" w14:textId="77777777" w:rsidR="00AB5ED2" w:rsidRPr="00AB5ED2" w:rsidRDefault="00AB5ED2" w:rsidP="00AB5ED2">
            <w:pPr>
              <w:spacing w:after="160" w:line="259" w:lineRule="auto"/>
              <w:ind w:left="97"/>
              <w:rPr>
                <w:rFonts w:eastAsia="Calibri" w:cs="Calibri"/>
                <w:color w:val="000000"/>
                <w:sz w:val="24"/>
              </w:rPr>
            </w:pPr>
          </w:p>
        </w:tc>
      </w:tr>
      <w:tr w:rsidR="00AB5ED2" w:rsidRPr="00AB5ED2" w14:paraId="041E38BB" w14:textId="77777777" w:rsidTr="00BF0EBE">
        <w:trPr>
          <w:trHeight w:val="252"/>
          <w:jc w:val="center"/>
        </w:trPr>
        <w:tc>
          <w:tcPr>
            <w:tcW w:w="1739" w:type="dxa"/>
            <w:vMerge/>
            <w:tcBorders>
              <w:left w:val="single" w:sz="4" w:space="0" w:color="000000"/>
              <w:right w:val="single" w:sz="4" w:space="0" w:color="000000"/>
            </w:tcBorders>
          </w:tcPr>
          <w:p w14:paraId="75AEB791" w14:textId="77777777" w:rsidR="00AB5ED2" w:rsidRPr="00AB5ED2" w:rsidRDefault="00AB5ED2" w:rsidP="00AB5ED2">
            <w:pPr>
              <w:spacing w:after="160" w:line="259" w:lineRule="auto"/>
              <w:rPr>
                <w:rFonts w:eastAsia="Calibri" w:cs="Calibri"/>
                <w:color w:val="000000"/>
                <w:sz w:val="24"/>
              </w:rPr>
            </w:pPr>
          </w:p>
        </w:tc>
        <w:tc>
          <w:tcPr>
            <w:tcW w:w="2161" w:type="dxa"/>
            <w:tcBorders>
              <w:top w:val="single" w:sz="4" w:space="0" w:color="000000"/>
              <w:left w:val="single" w:sz="4" w:space="0" w:color="000000"/>
              <w:bottom w:val="single" w:sz="4" w:space="0" w:color="000000"/>
              <w:right w:val="single" w:sz="4" w:space="0" w:color="000000"/>
            </w:tcBorders>
          </w:tcPr>
          <w:p w14:paraId="4AC51F53" w14:textId="77777777" w:rsidR="00AB5ED2" w:rsidRPr="00AB5ED2" w:rsidRDefault="00AB5ED2" w:rsidP="00AB5ED2">
            <w:pPr>
              <w:spacing w:line="259" w:lineRule="auto"/>
              <w:ind w:left="108"/>
              <w:rPr>
                <w:rFonts w:eastAsia="Calibri" w:cs="Calibri"/>
                <w:color w:val="000000"/>
                <w:sz w:val="24"/>
              </w:rPr>
            </w:pPr>
            <w:r w:rsidRPr="00AB5ED2">
              <w:rPr>
                <w:rFonts w:eastAsia="Calibri" w:cs="Calibri"/>
                <w:color w:val="000000"/>
                <w:sz w:val="24"/>
              </w:rPr>
              <w:t xml:space="preserve">Switch Code </w:t>
            </w:r>
          </w:p>
        </w:tc>
        <w:tc>
          <w:tcPr>
            <w:tcW w:w="2166" w:type="dxa"/>
            <w:tcBorders>
              <w:top w:val="single" w:sz="4" w:space="0" w:color="000000"/>
              <w:left w:val="single" w:sz="4" w:space="0" w:color="000000"/>
              <w:bottom w:val="single" w:sz="4" w:space="0" w:color="000000"/>
              <w:right w:val="nil"/>
            </w:tcBorders>
          </w:tcPr>
          <w:p w14:paraId="128D3630" w14:textId="033EEFB9" w:rsidR="00AB5ED2" w:rsidRPr="00AB5ED2" w:rsidRDefault="00AB5ED2" w:rsidP="00AB5ED2">
            <w:pPr>
              <w:spacing w:after="160" w:line="259" w:lineRule="auto"/>
              <w:ind w:left="97"/>
              <w:rPr>
                <w:rFonts w:eastAsia="Calibri" w:cs="Calibri"/>
                <w:color w:val="000000"/>
                <w:sz w:val="24"/>
              </w:rPr>
            </w:pPr>
            <w:r w:rsidRPr="00AB5ED2">
              <w:rPr>
                <w:rFonts w:eastAsia="Calibri" w:cs="Calibri"/>
                <w:color w:val="000000"/>
                <w:sz w:val="24"/>
              </w:rPr>
              <w:t xml:space="preserve">Sundanese </w:t>
            </w:r>
          </w:p>
        </w:tc>
        <w:tc>
          <w:tcPr>
            <w:tcW w:w="920" w:type="dxa"/>
            <w:tcBorders>
              <w:top w:val="single" w:sz="4" w:space="0" w:color="000000"/>
              <w:left w:val="nil"/>
              <w:bottom w:val="single" w:sz="4" w:space="0" w:color="000000"/>
              <w:right w:val="single" w:sz="4" w:space="0" w:color="000000"/>
            </w:tcBorders>
          </w:tcPr>
          <w:p w14:paraId="4E6497BE" w14:textId="77777777" w:rsidR="00AB5ED2" w:rsidRPr="00AB5ED2" w:rsidRDefault="00AB5ED2" w:rsidP="00AB5ED2">
            <w:pPr>
              <w:spacing w:after="160" w:line="259" w:lineRule="auto"/>
              <w:ind w:left="97"/>
              <w:rPr>
                <w:rFonts w:eastAsia="Calibri" w:cs="Calibri"/>
                <w:color w:val="000000"/>
                <w:sz w:val="24"/>
              </w:rPr>
            </w:pPr>
          </w:p>
        </w:tc>
      </w:tr>
      <w:tr w:rsidR="00BF0EBE" w:rsidRPr="00AB5ED2" w14:paraId="3E9AE939" w14:textId="77777777" w:rsidTr="00BF0EBE">
        <w:trPr>
          <w:trHeight w:val="351"/>
          <w:jc w:val="center"/>
        </w:trPr>
        <w:tc>
          <w:tcPr>
            <w:tcW w:w="1739" w:type="dxa"/>
            <w:vMerge/>
            <w:tcBorders>
              <w:left w:val="single" w:sz="4" w:space="0" w:color="000000"/>
              <w:bottom w:val="single" w:sz="4" w:space="0" w:color="000000"/>
              <w:right w:val="single" w:sz="4" w:space="0" w:color="000000"/>
            </w:tcBorders>
          </w:tcPr>
          <w:p w14:paraId="16731635" w14:textId="77777777" w:rsidR="00BF0EBE" w:rsidRPr="00AB5ED2" w:rsidRDefault="00BF0EBE" w:rsidP="00AB5ED2">
            <w:pPr>
              <w:spacing w:after="160" w:line="259" w:lineRule="auto"/>
              <w:rPr>
                <w:rFonts w:eastAsia="Calibri" w:cs="Calibri"/>
                <w:color w:val="000000"/>
                <w:sz w:val="24"/>
              </w:rPr>
            </w:pPr>
          </w:p>
        </w:tc>
        <w:tc>
          <w:tcPr>
            <w:tcW w:w="2161" w:type="dxa"/>
            <w:tcBorders>
              <w:top w:val="single" w:sz="4" w:space="0" w:color="000000"/>
              <w:left w:val="single" w:sz="4" w:space="0" w:color="000000"/>
              <w:bottom w:val="single" w:sz="4" w:space="0" w:color="000000"/>
              <w:right w:val="single" w:sz="4" w:space="0" w:color="000000"/>
            </w:tcBorders>
          </w:tcPr>
          <w:p w14:paraId="5827B28A" w14:textId="77777777" w:rsidR="00BF0EBE" w:rsidRPr="00AB5ED2" w:rsidRDefault="00BF0EBE" w:rsidP="00AB5ED2">
            <w:pPr>
              <w:spacing w:line="259" w:lineRule="auto"/>
              <w:ind w:left="108"/>
              <w:rPr>
                <w:rFonts w:eastAsia="Calibri" w:cs="Calibri"/>
                <w:color w:val="000000"/>
                <w:sz w:val="24"/>
              </w:rPr>
            </w:pPr>
            <w:r w:rsidRPr="00AB5ED2">
              <w:rPr>
                <w:rFonts w:eastAsia="Calibri" w:cs="Calibri"/>
                <w:color w:val="000000"/>
                <w:sz w:val="24"/>
              </w:rPr>
              <w:t xml:space="preserve">Frequent words </w:t>
            </w:r>
          </w:p>
        </w:tc>
        <w:tc>
          <w:tcPr>
            <w:tcW w:w="3086" w:type="dxa"/>
            <w:gridSpan w:val="2"/>
            <w:tcBorders>
              <w:top w:val="single" w:sz="4" w:space="0" w:color="000000"/>
              <w:left w:val="single" w:sz="4" w:space="0" w:color="000000"/>
              <w:bottom w:val="single" w:sz="4" w:space="0" w:color="000000"/>
              <w:right w:val="single" w:sz="4" w:space="0" w:color="000000"/>
            </w:tcBorders>
          </w:tcPr>
          <w:p w14:paraId="690CEB43" w14:textId="1C28408D" w:rsidR="00BF0EBE" w:rsidRPr="00AB5ED2" w:rsidRDefault="00BF0EBE" w:rsidP="00AB5ED2">
            <w:pPr>
              <w:spacing w:line="259" w:lineRule="auto"/>
              <w:ind w:left="97"/>
              <w:rPr>
                <w:rFonts w:eastAsia="Calibri" w:cs="Calibri"/>
                <w:color w:val="000000"/>
                <w:sz w:val="24"/>
              </w:rPr>
            </w:pPr>
            <w:r w:rsidRPr="00AB5ED2">
              <w:rPr>
                <w:rFonts w:eastAsia="Calibri" w:cs="Calibri"/>
                <w:color w:val="000000"/>
                <w:sz w:val="24"/>
              </w:rPr>
              <w:t>Insyaallah, gaskeun</w:t>
            </w:r>
            <w:r>
              <w:rPr>
                <w:rFonts w:eastAsia="Calibri" w:cs="Calibri"/>
                <w:color w:val="000000"/>
                <w:sz w:val="24"/>
              </w:rPr>
              <w:t xml:space="preserve">, </w:t>
            </w:r>
            <w:r w:rsidRPr="00AB5ED2">
              <w:rPr>
                <w:rFonts w:eastAsia="Calibri" w:cs="Calibri"/>
                <w:color w:val="000000"/>
                <w:sz w:val="24"/>
              </w:rPr>
              <w:t xml:space="preserve">estimasi, </w:t>
            </w:r>
          </w:p>
          <w:p w14:paraId="221C9C0A" w14:textId="1398FAFA" w:rsidR="00BF0EBE" w:rsidRPr="00AB5ED2" w:rsidRDefault="00BF0EBE" w:rsidP="00BF0EBE">
            <w:pPr>
              <w:spacing w:line="259" w:lineRule="auto"/>
              <w:ind w:firstLine="97"/>
              <w:jc w:val="both"/>
              <w:rPr>
                <w:rFonts w:eastAsia="Calibri" w:cs="Calibri"/>
                <w:color w:val="000000"/>
                <w:sz w:val="24"/>
              </w:rPr>
            </w:pPr>
            <w:r w:rsidRPr="00AB5ED2">
              <w:rPr>
                <w:rFonts w:eastAsia="Calibri" w:cs="Calibri"/>
                <w:color w:val="000000"/>
                <w:sz w:val="24"/>
              </w:rPr>
              <w:t>size</w:t>
            </w:r>
          </w:p>
        </w:tc>
      </w:tr>
    </w:tbl>
    <w:p w14:paraId="08E6344C" w14:textId="77777777" w:rsidR="00BF0EBE" w:rsidRPr="00BF0EBE" w:rsidRDefault="00BF0EBE" w:rsidP="00BF0EBE">
      <w:pPr>
        <w:jc w:val="center"/>
        <w:rPr>
          <w:rFonts w:ascii="Calibri" w:eastAsia="Calibri" w:hAnsi="Calibri" w:cs="Calibri"/>
        </w:rPr>
      </w:pPr>
      <w:r w:rsidRPr="00BF0EBE">
        <w:rPr>
          <w:rFonts w:ascii="Calibri" w:eastAsia="Calibri" w:hAnsi="Calibri" w:cs="Calibri"/>
        </w:rPr>
        <w:t>Source: Research Result, 2023</w:t>
      </w:r>
    </w:p>
    <w:p w14:paraId="5F64014D" w14:textId="450B2581" w:rsidR="00AB5ED2" w:rsidRDefault="00AB5ED2">
      <w:pPr>
        <w:jc w:val="both"/>
        <w:rPr>
          <w:rFonts w:ascii="Calibri" w:eastAsia="Calibri" w:hAnsi="Calibri" w:cs="Calibri"/>
          <w:b/>
          <w:sz w:val="22"/>
          <w:szCs w:val="22"/>
        </w:rPr>
      </w:pPr>
    </w:p>
    <w:p w14:paraId="663F97D3" w14:textId="77777777" w:rsidR="0089024C" w:rsidRDefault="0089024C" w:rsidP="0089024C">
      <w:pPr>
        <w:ind w:firstLine="720"/>
        <w:jc w:val="both"/>
        <w:rPr>
          <w:rFonts w:ascii="Calibri" w:eastAsia="Calibri" w:hAnsi="Calibri" w:cs="Calibri"/>
          <w:bCs/>
          <w:sz w:val="22"/>
          <w:szCs w:val="22"/>
        </w:rPr>
      </w:pPr>
      <w:r w:rsidRPr="0089024C">
        <w:rPr>
          <w:rFonts w:ascii="Calibri" w:eastAsia="Calibri" w:hAnsi="Calibri" w:cs="Calibri"/>
          <w:bCs/>
          <w:sz w:val="22"/>
          <w:szCs w:val="22"/>
        </w:rPr>
        <w:t>The Moslem Limited’s hosts take a slightly different approach to the audience compared to Aerostreet. The host doesn't have to worry too much about meeting sales goals; what matters is that they stay in business and build a good reputation. The communication style of the host is typically focused on interaction which can be categorized to interactionoriented style. They greet the audience as much as possible, invite them to ask regarding the product, and respond to inquiries in a more calm and unhurried manner. They greeted the viewers warmly. The individual's rate of speech remains consistent at 130 words per minute. Host doesn't have to worry too much about meeting sales goals; what matters is that they stay in business and build a good reputation.</w:t>
      </w:r>
      <w:r>
        <w:rPr>
          <w:rFonts w:ascii="Calibri" w:eastAsia="Calibri" w:hAnsi="Calibri" w:cs="Calibri"/>
          <w:bCs/>
          <w:sz w:val="22"/>
          <w:szCs w:val="22"/>
        </w:rPr>
        <w:t xml:space="preserve"> </w:t>
      </w:r>
      <w:r w:rsidRPr="0089024C">
        <w:rPr>
          <w:rFonts w:ascii="Calibri" w:eastAsia="Calibri" w:hAnsi="Calibri" w:cs="Calibri"/>
          <w:bCs/>
          <w:sz w:val="22"/>
          <w:szCs w:val="22"/>
        </w:rPr>
        <w:t xml:space="preserve">Occasionally when responding to a large number of queries, they may speak at 150 words per minute. </w:t>
      </w:r>
    </w:p>
    <w:p w14:paraId="57AAB235" w14:textId="60A574A1" w:rsidR="00BF0EBE" w:rsidRDefault="0089024C" w:rsidP="0089024C">
      <w:pPr>
        <w:ind w:firstLine="720"/>
        <w:jc w:val="both"/>
        <w:rPr>
          <w:rFonts w:ascii="Calibri" w:eastAsia="Calibri" w:hAnsi="Calibri" w:cs="Calibri"/>
          <w:bCs/>
          <w:sz w:val="22"/>
          <w:szCs w:val="22"/>
        </w:rPr>
      </w:pPr>
      <w:r w:rsidRPr="0089024C">
        <w:rPr>
          <w:rFonts w:ascii="Calibri" w:eastAsia="Calibri" w:hAnsi="Calibri" w:cs="Calibri"/>
          <w:bCs/>
          <w:sz w:val="22"/>
          <w:szCs w:val="22"/>
        </w:rPr>
        <w:t>They only sell Muslim men's apparel in the form of da'wah T-shirts, their brand tends to be exclusive. Because the majority of hosts are native Sundanese speakers with low and dynamic intonation, the audience is frequently involved in the discussion. Sundanese cultural factors have a significant impact on the hosts' personality, making them warm and sociable in conversation. Another intriguing aspect is the frequent repetition of the term Insha Allah. This word represents their brand, which specialized in the sale of dakwah T-shirts (jersey).  They also included in high dominance and high sociability human behaviour. They can have friends quickly and make them comfortable in a casual setting. These people are friendly, lively, and interesting. They stand out from others, open and willing to spend time with many different people</w:t>
      </w:r>
    </w:p>
    <w:p w14:paraId="46783B79" w14:textId="0D8E7BE2" w:rsidR="0089024C" w:rsidRDefault="0089024C" w:rsidP="0089024C">
      <w:pPr>
        <w:jc w:val="both"/>
        <w:rPr>
          <w:rFonts w:ascii="Calibri" w:eastAsia="Calibri" w:hAnsi="Calibri" w:cs="Calibri"/>
          <w:bCs/>
          <w:sz w:val="22"/>
          <w:szCs w:val="22"/>
        </w:rPr>
      </w:pPr>
    </w:p>
    <w:p w14:paraId="0069521F" w14:textId="77777777" w:rsidR="0089024C" w:rsidRPr="0089024C" w:rsidRDefault="0089024C" w:rsidP="0089024C">
      <w:pPr>
        <w:pBdr>
          <w:top w:val="nil"/>
          <w:left w:val="nil"/>
          <w:bottom w:val="nil"/>
          <w:right w:val="nil"/>
          <w:between w:val="nil"/>
        </w:pBdr>
        <w:jc w:val="both"/>
        <w:rPr>
          <w:rFonts w:ascii="Calibri" w:eastAsia="Calibri" w:hAnsi="Calibri" w:cs="Calibri"/>
          <w:b/>
          <w:bCs/>
          <w:color w:val="000000"/>
          <w:sz w:val="22"/>
          <w:szCs w:val="22"/>
        </w:rPr>
      </w:pPr>
      <w:r w:rsidRPr="0089024C">
        <w:rPr>
          <w:rFonts w:ascii="Calibri" w:eastAsia="Calibri" w:hAnsi="Calibri" w:cs="Calibri"/>
          <w:b/>
          <w:bCs/>
          <w:color w:val="000000"/>
          <w:sz w:val="22"/>
          <w:szCs w:val="22"/>
        </w:rPr>
        <w:t>Oxone</w:t>
      </w:r>
    </w:p>
    <w:p w14:paraId="63801FD0" w14:textId="77777777" w:rsidR="0089024C" w:rsidRDefault="0089024C" w:rsidP="0089024C">
      <w:pPr>
        <w:pBdr>
          <w:top w:val="nil"/>
          <w:left w:val="nil"/>
          <w:bottom w:val="nil"/>
          <w:right w:val="nil"/>
          <w:between w:val="nil"/>
        </w:pBdr>
        <w:ind w:firstLine="720"/>
        <w:jc w:val="both"/>
        <w:rPr>
          <w:rFonts w:ascii="Calibri" w:eastAsia="Calibri" w:hAnsi="Calibri" w:cs="Calibri"/>
          <w:color w:val="000000"/>
          <w:sz w:val="22"/>
          <w:szCs w:val="22"/>
        </w:rPr>
      </w:pPr>
      <w:r w:rsidRPr="0089024C">
        <w:rPr>
          <w:rFonts w:ascii="Calibri" w:eastAsia="Calibri" w:hAnsi="Calibri" w:cs="Calibri"/>
          <w:color w:val="000000"/>
          <w:sz w:val="22"/>
          <w:szCs w:val="22"/>
        </w:rPr>
        <w:t xml:space="preserve">Oxone is a big brand under PT. Octa Utama produced consumer goods for household needs. It was founded in 2001 and was honored with a prestigious brand after received top brand award in 2014. The products offered such as ovens, cookware sets, dispensers, and vacuum cleaners. Those are essential items that effectively intended ergonomic purposes. Oxone offers a range of items that can </w:t>
      </w:r>
      <w:r w:rsidRPr="0089024C">
        <w:rPr>
          <w:rFonts w:ascii="Calibri" w:eastAsia="Calibri" w:hAnsi="Calibri" w:cs="Calibri"/>
          <w:color w:val="000000"/>
          <w:sz w:val="22"/>
          <w:szCs w:val="22"/>
        </w:rPr>
        <w:lastRenderedPageBreak/>
        <w:t>be categorized into two main groups: electronic and non-electronic kitchen equipment (Aryanto, 2018). The marketing system used conventionally and online.  Housewives act as agents in conventional marketing system</w:t>
      </w:r>
      <w:r>
        <w:rPr>
          <w:rFonts w:ascii="Calibri" w:eastAsia="Calibri" w:hAnsi="Calibri" w:cs="Calibri"/>
          <w:color w:val="000000"/>
          <w:sz w:val="22"/>
          <w:szCs w:val="22"/>
        </w:rPr>
        <w:t xml:space="preserve"> </w:t>
      </w:r>
      <w:r w:rsidRPr="0089024C">
        <w:rPr>
          <w:rFonts w:ascii="Calibri" w:eastAsia="Calibri" w:hAnsi="Calibri" w:cs="Calibri"/>
          <w:color w:val="000000"/>
          <w:sz w:val="22"/>
          <w:szCs w:val="22"/>
        </w:rPr>
        <w:t>(Ruslina, 2019). Oxone conventional store can be found in Mall of Indonesia and PIK Avenue. Digital media is another method of company to gain exposure and expand its customer base. Oxone is visible in the digital sphere, sharing engaging material via eye</w:t>
      </w:r>
      <w:r>
        <w:rPr>
          <w:rFonts w:ascii="Calibri" w:eastAsia="Calibri" w:hAnsi="Calibri" w:cs="Calibri"/>
          <w:color w:val="000000"/>
          <w:sz w:val="22"/>
          <w:szCs w:val="22"/>
        </w:rPr>
        <w:t xml:space="preserve"> </w:t>
      </w:r>
      <w:r w:rsidRPr="0089024C">
        <w:rPr>
          <w:rFonts w:ascii="Calibri" w:eastAsia="Calibri" w:hAnsi="Calibri" w:cs="Calibri"/>
          <w:color w:val="000000"/>
          <w:sz w:val="22"/>
          <w:szCs w:val="22"/>
        </w:rPr>
        <w:t xml:space="preserve">catching posters and commercials. Oxone can be found in e-commerce and social commerce platforms. </w:t>
      </w:r>
    </w:p>
    <w:p w14:paraId="45516361" w14:textId="77777777" w:rsidR="0089024C" w:rsidRDefault="0089024C" w:rsidP="0089024C">
      <w:pPr>
        <w:pBdr>
          <w:top w:val="nil"/>
          <w:left w:val="nil"/>
          <w:bottom w:val="nil"/>
          <w:right w:val="nil"/>
          <w:between w:val="nil"/>
        </w:pBdr>
        <w:ind w:firstLine="720"/>
        <w:jc w:val="both"/>
        <w:rPr>
          <w:rFonts w:ascii="Calibri" w:eastAsia="Calibri" w:hAnsi="Calibri" w:cs="Calibri"/>
          <w:color w:val="000000"/>
          <w:sz w:val="22"/>
          <w:szCs w:val="22"/>
        </w:rPr>
      </w:pPr>
      <w:r w:rsidRPr="0089024C">
        <w:rPr>
          <w:rFonts w:ascii="Calibri" w:eastAsia="Calibri" w:hAnsi="Calibri" w:cs="Calibri"/>
          <w:color w:val="000000"/>
          <w:sz w:val="22"/>
          <w:szCs w:val="22"/>
        </w:rPr>
        <w:t>Oxone picks young people to be hosts on TikTok whereas it assigns adults on Shopee. Typically, Oxone employs a host and co-host for TikTok, which may consist of a male and female or a pair of female hosts. The individual's manner of speech ends to be calm and relaxed. On Shopee live, the host do the same things, enjoy informing the products and shows the display without having to rush. Additionally, the TikTok live streaming is only available until 10 p.m. The host is given the opportunity to present the product freely, and without pressure. The live presentation on Oxone has a diverse range of formats, you may see two hosts at once, single host appearances, and sometimes host behind the scene, where the whole focus is on showcasing the product.</w:t>
      </w:r>
    </w:p>
    <w:p w14:paraId="5E5E48EB" w14:textId="77777777" w:rsidR="0089024C" w:rsidRDefault="0089024C" w:rsidP="0089024C">
      <w:pPr>
        <w:pBdr>
          <w:top w:val="nil"/>
          <w:left w:val="nil"/>
          <w:bottom w:val="nil"/>
          <w:right w:val="nil"/>
          <w:between w:val="nil"/>
        </w:pBdr>
        <w:jc w:val="both"/>
        <w:rPr>
          <w:rFonts w:ascii="Calibri" w:eastAsia="Calibri" w:hAnsi="Calibri" w:cs="Calibri"/>
          <w:color w:val="000000"/>
          <w:sz w:val="22"/>
          <w:szCs w:val="22"/>
        </w:rPr>
      </w:pPr>
    </w:p>
    <w:p w14:paraId="6220408D" w14:textId="77777777" w:rsidR="0089024C" w:rsidRDefault="0089024C" w:rsidP="0089024C">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0A59519E" wp14:editId="1F9CDF8F">
            <wp:extent cx="1383665" cy="2658110"/>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3665" cy="2658110"/>
                    </a:xfrm>
                    <a:prstGeom prst="rect">
                      <a:avLst/>
                    </a:prstGeom>
                    <a:noFill/>
                  </pic:spPr>
                </pic:pic>
              </a:graphicData>
            </a:graphic>
          </wp:inline>
        </w:drawing>
      </w:r>
    </w:p>
    <w:p w14:paraId="57C89AA2" w14:textId="7ADB13E4" w:rsidR="0089024C" w:rsidRDefault="0089024C" w:rsidP="0089024C">
      <w:pPr>
        <w:jc w:val="center"/>
        <w:rPr>
          <w:rFonts w:ascii="Calibri" w:eastAsia="Calibri" w:hAnsi="Calibri" w:cs="Calibri"/>
          <w:bCs/>
        </w:rPr>
      </w:pPr>
      <w:r w:rsidRPr="008B6717">
        <w:rPr>
          <w:rFonts w:ascii="Calibri" w:eastAsia="Calibri" w:hAnsi="Calibri" w:cs="Calibri"/>
          <w:bCs/>
        </w:rPr>
        <w:t xml:space="preserve">Figure </w:t>
      </w:r>
      <w:r w:rsidR="00523715">
        <w:rPr>
          <w:rFonts w:ascii="Calibri" w:eastAsia="Calibri" w:hAnsi="Calibri" w:cs="Calibri"/>
          <w:bCs/>
        </w:rPr>
        <w:t>3</w:t>
      </w:r>
      <w:r w:rsidRPr="008B6717">
        <w:rPr>
          <w:rFonts w:ascii="Calibri" w:eastAsia="Calibri" w:hAnsi="Calibri" w:cs="Calibri"/>
          <w:bCs/>
        </w:rPr>
        <w:t xml:space="preserve">. Host of </w:t>
      </w:r>
      <w:r w:rsidR="00523715">
        <w:rPr>
          <w:rFonts w:ascii="Calibri" w:eastAsia="Calibri" w:hAnsi="Calibri" w:cs="Calibri"/>
          <w:bCs/>
        </w:rPr>
        <w:t>Oxone</w:t>
      </w:r>
    </w:p>
    <w:p w14:paraId="3FA265CE" w14:textId="543B3CE6" w:rsidR="00523715" w:rsidRDefault="0089024C" w:rsidP="00523715">
      <w:pPr>
        <w:jc w:val="center"/>
        <w:rPr>
          <w:rFonts w:ascii="Calibri" w:eastAsia="Calibri" w:hAnsi="Calibri" w:cs="Calibri"/>
          <w:bCs/>
        </w:rPr>
      </w:pPr>
      <w:r>
        <w:rPr>
          <w:rFonts w:ascii="Calibri" w:eastAsia="Calibri" w:hAnsi="Calibri" w:cs="Calibri"/>
          <w:bCs/>
        </w:rPr>
        <w:t>(Source: TikTok, 2023)</w:t>
      </w:r>
    </w:p>
    <w:p w14:paraId="2FCC1E0E" w14:textId="77777777" w:rsidR="00523715" w:rsidRDefault="00523715" w:rsidP="00523715">
      <w:pPr>
        <w:spacing w:after="5" w:line="250" w:lineRule="auto"/>
        <w:ind w:right="-8" w:firstLine="720"/>
        <w:jc w:val="both"/>
        <w:rPr>
          <w:rFonts w:ascii="Calibri" w:eastAsia="Calibri" w:hAnsi="Calibri" w:cs="Calibri"/>
          <w:i/>
          <w:color w:val="000000"/>
          <w:sz w:val="22"/>
          <w:lang w:val="en-ID"/>
        </w:rPr>
      </w:pPr>
    </w:p>
    <w:p w14:paraId="097594AF" w14:textId="535CF266" w:rsidR="00523715" w:rsidRPr="00523715" w:rsidRDefault="00523715" w:rsidP="00523715">
      <w:pPr>
        <w:spacing w:after="5" w:line="250" w:lineRule="auto"/>
        <w:ind w:right="-8" w:firstLine="720"/>
        <w:jc w:val="both"/>
        <w:rPr>
          <w:rFonts w:ascii="Calibri" w:eastAsia="Calibri" w:hAnsi="Calibri" w:cs="Calibri"/>
          <w:color w:val="000000"/>
          <w:sz w:val="22"/>
          <w:lang w:val="en-ID"/>
        </w:rPr>
      </w:pPr>
      <w:r w:rsidRPr="00523715">
        <w:rPr>
          <w:rFonts w:ascii="Calibri" w:eastAsia="Calibri" w:hAnsi="Calibri" w:cs="Calibri"/>
          <w:i/>
          <w:color w:val="000000"/>
          <w:sz w:val="22"/>
          <w:lang w:val="en-ID"/>
        </w:rPr>
        <w:t xml:space="preserve">Bunda Haya/ Bunda haya/ tadi Rice Cookernya boleh aja di payment/ kan masih belum jelas/ boleh kakak tanyain lagi sama kita yah/bener langsung ditanyain/komen-komen kita masih terbuka yah/ betul/kita masih terbuka lebar buat kalian yah/kita bantu jelasin se bisa mungkin/ gitu loh/ sejujur-jujurnya/sampai betul/ sampai kakak tuh ngerti loh/ sampai rumah gak planga-plongo lagi/ barangnya udah dating/ udah deh/ langsung reading kita/ eee apa/ langsung/ eksekusi gitu kan/ nasi/ atau pun bikin sup/ gitu kan/ kalau untuk yang rice cooker/  gimana nih kak nurizky nih/komen/ udah payment belum/ayo kak nurizky 12 jam loh suhunya / betul/ tuh/ ini ada tempat minumnya juga/ sebelum di tutup/ cepet/cepet/cepet/sebelum keranjangnya ilang/nanti biasanya suka bingung kan/ kok tibatiba keranjangnya ilang/ biasanya ibu-ibu suka gitu kan/ dia kan tau/ berita yang lagi happening/ ya kan//   </w:t>
      </w:r>
    </w:p>
    <w:p w14:paraId="7F9C342B" w14:textId="77777777" w:rsidR="00523715" w:rsidRDefault="00523715" w:rsidP="00523715">
      <w:pPr>
        <w:rPr>
          <w:rFonts w:ascii="Calibri" w:eastAsia="Calibri" w:hAnsi="Calibri" w:cs="Calibri"/>
          <w:bCs/>
        </w:rPr>
      </w:pPr>
    </w:p>
    <w:p w14:paraId="00F1DCF7" w14:textId="3D100B0E" w:rsidR="00523715" w:rsidRDefault="00523715" w:rsidP="00523715">
      <w:pPr>
        <w:pBdr>
          <w:top w:val="nil"/>
          <w:left w:val="nil"/>
          <w:bottom w:val="nil"/>
          <w:right w:val="nil"/>
          <w:between w:val="nil"/>
        </w:pBdr>
        <w:ind w:firstLine="720"/>
        <w:jc w:val="both"/>
        <w:rPr>
          <w:rFonts w:ascii="Calibri" w:eastAsia="Calibri" w:hAnsi="Calibri" w:cs="Calibri"/>
          <w:color w:val="000000"/>
          <w:sz w:val="22"/>
          <w:szCs w:val="22"/>
        </w:rPr>
      </w:pPr>
      <w:r w:rsidRPr="00523715">
        <w:rPr>
          <w:rFonts w:ascii="Calibri" w:eastAsia="Calibri" w:hAnsi="Calibri" w:cs="Calibri"/>
          <w:color w:val="000000"/>
          <w:sz w:val="22"/>
          <w:szCs w:val="22"/>
        </w:rPr>
        <w:t xml:space="preserve">The individual's rate of speech is recorded at 130 words per minute, accompanied by an average pause duration of 5 words. The following table shows the details: </w:t>
      </w:r>
    </w:p>
    <w:p w14:paraId="2B84F692" w14:textId="26F41AC1" w:rsidR="00523715" w:rsidRDefault="00523715" w:rsidP="00523715">
      <w:pPr>
        <w:pBdr>
          <w:top w:val="nil"/>
          <w:left w:val="nil"/>
          <w:bottom w:val="nil"/>
          <w:right w:val="nil"/>
          <w:between w:val="nil"/>
        </w:pBdr>
        <w:ind w:firstLine="720"/>
        <w:jc w:val="both"/>
        <w:rPr>
          <w:rFonts w:ascii="Calibri" w:eastAsia="Calibri" w:hAnsi="Calibri" w:cs="Calibri"/>
          <w:color w:val="000000"/>
          <w:sz w:val="22"/>
          <w:szCs w:val="22"/>
        </w:rPr>
      </w:pPr>
    </w:p>
    <w:p w14:paraId="33EE0C26" w14:textId="77777777" w:rsidR="00523715" w:rsidRDefault="00523715" w:rsidP="00523715">
      <w:pPr>
        <w:jc w:val="center"/>
        <w:rPr>
          <w:rFonts w:ascii="Calibri" w:eastAsia="Calibri" w:hAnsi="Calibri" w:cs="Calibri"/>
          <w:bCs/>
        </w:rPr>
      </w:pPr>
    </w:p>
    <w:p w14:paraId="266D82F9" w14:textId="77777777" w:rsidR="00523715" w:rsidRDefault="00523715" w:rsidP="00523715">
      <w:pPr>
        <w:jc w:val="center"/>
        <w:rPr>
          <w:rFonts w:ascii="Calibri" w:eastAsia="Calibri" w:hAnsi="Calibri" w:cs="Calibri"/>
          <w:bCs/>
        </w:rPr>
      </w:pPr>
    </w:p>
    <w:p w14:paraId="78103FD6" w14:textId="4E54CDF1" w:rsidR="00523715" w:rsidRPr="008B6717" w:rsidRDefault="00523715" w:rsidP="00523715">
      <w:pPr>
        <w:jc w:val="center"/>
        <w:rPr>
          <w:rFonts w:ascii="Calibri" w:eastAsia="Calibri" w:hAnsi="Calibri" w:cs="Calibri"/>
          <w:bCs/>
        </w:rPr>
      </w:pPr>
      <w:bookmarkStart w:id="3" w:name="_Hlk152161446"/>
      <w:r w:rsidRPr="008B6717">
        <w:rPr>
          <w:rFonts w:ascii="Calibri" w:eastAsia="Calibri" w:hAnsi="Calibri" w:cs="Calibri"/>
          <w:bCs/>
        </w:rPr>
        <w:lastRenderedPageBreak/>
        <w:t xml:space="preserve">Table </w:t>
      </w:r>
      <w:r>
        <w:rPr>
          <w:rFonts w:ascii="Calibri" w:eastAsia="Calibri" w:hAnsi="Calibri" w:cs="Calibri"/>
          <w:bCs/>
        </w:rPr>
        <w:t>4</w:t>
      </w:r>
      <w:r w:rsidRPr="008B6717">
        <w:rPr>
          <w:rFonts w:ascii="Calibri" w:eastAsia="Calibri" w:hAnsi="Calibri" w:cs="Calibri"/>
          <w:bCs/>
        </w:rPr>
        <w:t>.</w:t>
      </w:r>
      <w:r>
        <w:rPr>
          <w:rFonts w:ascii="Calibri" w:eastAsia="Calibri" w:hAnsi="Calibri" w:cs="Calibri"/>
          <w:bCs/>
        </w:rPr>
        <w:t xml:space="preserve"> D</w:t>
      </w:r>
      <w:r w:rsidRPr="008B6717">
        <w:rPr>
          <w:rFonts w:ascii="Calibri" w:eastAsia="Calibri" w:hAnsi="Calibri" w:cs="Calibri"/>
          <w:bCs/>
        </w:rPr>
        <w:t xml:space="preserve">elivery </w:t>
      </w:r>
      <w:r>
        <w:rPr>
          <w:rFonts w:ascii="Calibri" w:eastAsia="Calibri" w:hAnsi="Calibri" w:cs="Calibri"/>
          <w:bCs/>
        </w:rPr>
        <w:t>M</w:t>
      </w:r>
      <w:r w:rsidRPr="008B6717">
        <w:rPr>
          <w:rFonts w:ascii="Calibri" w:eastAsia="Calibri" w:hAnsi="Calibri" w:cs="Calibri"/>
          <w:bCs/>
        </w:rPr>
        <w:t>ethods</w:t>
      </w:r>
      <w:r>
        <w:rPr>
          <w:rFonts w:ascii="Calibri" w:eastAsia="Calibri" w:hAnsi="Calibri" w:cs="Calibri"/>
          <w:bCs/>
        </w:rPr>
        <w:t xml:space="preserve"> of </w:t>
      </w:r>
      <w:r>
        <w:rPr>
          <w:rFonts w:asciiTheme="minorHAnsi" w:eastAsia="Calibri" w:hAnsiTheme="minorHAnsi" w:cstheme="minorHAnsi"/>
          <w:bCs/>
          <w:lang w:val="en-ID"/>
        </w:rPr>
        <w:t>Oxone</w:t>
      </w:r>
      <w:r>
        <w:rPr>
          <w:rFonts w:asciiTheme="minorHAnsi" w:eastAsia="Calibri" w:hAnsiTheme="minorHAnsi" w:cstheme="minorHAnsi"/>
          <w:bCs/>
          <w:lang w:val="en-ID"/>
        </w:rPr>
        <w:t>’s Host</w:t>
      </w:r>
    </w:p>
    <w:tbl>
      <w:tblPr>
        <w:tblStyle w:val="TableGrid0"/>
        <w:tblW w:w="6493" w:type="dxa"/>
        <w:jc w:val="center"/>
        <w:tblInd w:w="0" w:type="dxa"/>
        <w:tblCellMar>
          <w:top w:w="53" w:type="dxa"/>
          <w:left w:w="108" w:type="dxa"/>
          <w:bottom w:w="0" w:type="dxa"/>
          <w:right w:w="54" w:type="dxa"/>
        </w:tblCellMar>
        <w:tblLook w:val="04A0" w:firstRow="1" w:lastRow="0" w:firstColumn="1" w:lastColumn="0" w:noHBand="0" w:noVBand="1"/>
      </w:tblPr>
      <w:tblGrid>
        <w:gridCol w:w="1962"/>
        <w:gridCol w:w="2161"/>
        <w:gridCol w:w="2370"/>
      </w:tblGrid>
      <w:tr w:rsidR="00523715" w14:paraId="4F9CEE8C" w14:textId="77777777" w:rsidTr="00523715">
        <w:trPr>
          <w:trHeight w:val="353"/>
          <w:jc w:val="center"/>
        </w:trPr>
        <w:tc>
          <w:tcPr>
            <w:tcW w:w="6493" w:type="dxa"/>
            <w:gridSpan w:val="3"/>
            <w:tcBorders>
              <w:top w:val="single" w:sz="4" w:space="0" w:color="000000"/>
              <w:left w:val="single" w:sz="4" w:space="0" w:color="000000"/>
              <w:bottom w:val="single" w:sz="4" w:space="0" w:color="000000"/>
              <w:right w:val="single" w:sz="4" w:space="0" w:color="000000"/>
            </w:tcBorders>
          </w:tcPr>
          <w:bookmarkEnd w:id="3"/>
          <w:p w14:paraId="59B6A9CC" w14:textId="77777777" w:rsidR="00523715" w:rsidRDefault="00523715" w:rsidP="00C50371">
            <w:pPr>
              <w:spacing w:line="259" w:lineRule="auto"/>
              <w:ind w:right="55"/>
              <w:jc w:val="center"/>
            </w:pPr>
            <w:r>
              <w:t xml:space="preserve">Oxone </w:t>
            </w:r>
          </w:p>
        </w:tc>
      </w:tr>
      <w:tr w:rsidR="00523715" w14:paraId="4A14E7DC" w14:textId="77777777" w:rsidTr="00523715">
        <w:trPr>
          <w:trHeight w:val="355"/>
          <w:jc w:val="center"/>
        </w:trPr>
        <w:tc>
          <w:tcPr>
            <w:tcW w:w="1962" w:type="dxa"/>
            <w:vMerge w:val="restart"/>
            <w:tcBorders>
              <w:top w:val="single" w:sz="4" w:space="0" w:color="000000"/>
              <w:left w:val="single" w:sz="4" w:space="0" w:color="000000"/>
              <w:bottom w:val="single" w:sz="4" w:space="0" w:color="000000"/>
              <w:right w:val="single" w:sz="4" w:space="0" w:color="000000"/>
            </w:tcBorders>
          </w:tcPr>
          <w:p w14:paraId="52784454" w14:textId="77777777" w:rsidR="00523715" w:rsidRDefault="00523715" w:rsidP="00C50371">
            <w:pPr>
              <w:spacing w:line="259" w:lineRule="auto"/>
            </w:pPr>
            <w:r>
              <w:t xml:space="preserve">Physical Appearance </w:t>
            </w:r>
          </w:p>
        </w:tc>
        <w:tc>
          <w:tcPr>
            <w:tcW w:w="2161" w:type="dxa"/>
            <w:tcBorders>
              <w:top w:val="single" w:sz="4" w:space="0" w:color="000000"/>
              <w:left w:val="single" w:sz="4" w:space="0" w:color="000000"/>
              <w:bottom w:val="single" w:sz="4" w:space="0" w:color="000000"/>
              <w:right w:val="single" w:sz="4" w:space="0" w:color="000000"/>
            </w:tcBorders>
          </w:tcPr>
          <w:p w14:paraId="6AE231B1" w14:textId="77777777" w:rsidR="00523715" w:rsidRDefault="00523715" w:rsidP="00C50371">
            <w:pPr>
              <w:spacing w:line="259" w:lineRule="auto"/>
            </w:pPr>
            <w:r>
              <w:t xml:space="preserve">Style </w:t>
            </w:r>
          </w:p>
        </w:tc>
        <w:tc>
          <w:tcPr>
            <w:tcW w:w="2370" w:type="dxa"/>
            <w:tcBorders>
              <w:top w:val="single" w:sz="4" w:space="0" w:color="000000"/>
              <w:left w:val="single" w:sz="4" w:space="0" w:color="000000"/>
              <w:bottom w:val="single" w:sz="4" w:space="0" w:color="000000"/>
              <w:right w:val="single" w:sz="4" w:space="0" w:color="000000"/>
            </w:tcBorders>
          </w:tcPr>
          <w:p w14:paraId="029931B7" w14:textId="77777777" w:rsidR="00523715" w:rsidRDefault="00523715" w:rsidP="00C50371">
            <w:pPr>
              <w:spacing w:line="259" w:lineRule="auto"/>
            </w:pPr>
            <w:r>
              <w:t xml:space="preserve">Casual  </w:t>
            </w:r>
          </w:p>
        </w:tc>
      </w:tr>
      <w:tr w:rsidR="00523715" w14:paraId="13981D10" w14:textId="77777777" w:rsidTr="00523715">
        <w:trPr>
          <w:trHeight w:val="370"/>
          <w:jc w:val="center"/>
        </w:trPr>
        <w:tc>
          <w:tcPr>
            <w:tcW w:w="0" w:type="auto"/>
            <w:vMerge/>
            <w:tcBorders>
              <w:top w:val="nil"/>
              <w:left w:val="single" w:sz="4" w:space="0" w:color="000000"/>
              <w:bottom w:val="nil"/>
              <w:right w:val="single" w:sz="4" w:space="0" w:color="000000"/>
            </w:tcBorders>
          </w:tcPr>
          <w:p w14:paraId="1F0FCD79" w14:textId="77777777" w:rsidR="00523715" w:rsidRDefault="00523715" w:rsidP="00C50371">
            <w:pPr>
              <w:spacing w:after="160" w:line="259" w:lineRule="auto"/>
            </w:pPr>
          </w:p>
        </w:tc>
        <w:tc>
          <w:tcPr>
            <w:tcW w:w="2161" w:type="dxa"/>
            <w:tcBorders>
              <w:top w:val="single" w:sz="4" w:space="0" w:color="000000"/>
              <w:left w:val="single" w:sz="4" w:space="0" w:color="000000"/>
              <w:bottom w:val="single" w:sz="4" w:space="0" w:color="000000"/>
              <w:right w:val="single" w:sz="4" w:space="0" w:color="000000"/>
            </w:tcBorders>
          </w:tcPr>
          <w:p w14:paraId="3C4A70AD" w14:textId="77777777" w:rsidR="00523715" w:rsidRDefault="00523715" w:rsidP="00C50371">
            <w:pPr>
              <w:spacing w:line="259" w:lineRule="auto"/>
            </w:pPr>
            <w:r>
              <w:t xml:space="preserve">Gesture </w:t>
            </w:r>
          </w:p>
        </w:tc>
        <w:tc>
          <w:tcPr>
            <w:tcW w:w="2370" w:type="dxa"/>
            <w:tcBorders>
              <w:top w:val="single" w:sz="4" w:space="0" w:color="000000"/>
              <w:left w:val="single" w:sz="4" w:space="0" w:color="000000"/>
              <w:bottom w:val="single" w:sz="4" w:space="0" w:color="000000"/>
              <w:right w:val="single" w:sz="4" w:space="0" w:color="000000"/>
            </w:tcBorders>
          </w:tcPr>
          <w:p w14:paraId="0ED16EE6" w14:textId="77777777" w:rsidR="00523715" w:rsidRDefault="00523715" w:rsidP="00C50371">
            <w:pPr>
              <w:spacing w:line="259" w:lineRule="auto"/>
            </w:pPr>
            <w:r>
              <w:t xml:space="preserve">No specific </w:t>
            </w:r>
          </w:p>
        </w:tc>
      </w:tr>
      <w:tr w:rsidR="00523715" w14:paraId="5A84E7AC" w14:textId="77777777" w:rsidTr="00523715">
        <w:trPr>
          <w:trHeight w:val="355"/>
          <w:jc w:val="center"/>
        </w:trPr>
        <w:tc>
          <w:tcPr>
            <w:tcW w:w="0" w:type="auto"/>
            <w:vMerge/>
            <w:tcBorders>
              <w:top w:val="nil"/>
              <w:left w:val="single" w:sz="4" w:space="0" w:color="000000"/>
              <w:bottom w:val="single" w:sz="4" w:space="0" w:color="000000"/>
              <w:right w:val="single" w:sz="4" w:space="0" w:color="000000"/>
            </w:tcBorders>
          </w:tcPr>
          <w:p w14:paraId="4D9FA86F" w14:textId="77777777" w:rsidR="00523715" w:rsidRDefault="00523715" w:rsidP="00C50371">
            <w:pPr>
              <w:spacing w:after="160" w:line="259" w:lineRule="auto"/>
            </w:pPr>
          </w:p>
        </w:tc>
        <w:tc>
          <w:tcPr>
            <w:tcW w:w="2161" w:type="dxa"/>
            <w:tcBorders>
              <w:top w:val="single" w:sz="4" w:space="0" w:color="000000"/>
              <w:left w:val="single" w:sz="4" w:space="0" w:color="000000"/>
              <w:bottom w:val="single" w:sz="4" w:space="0" w:color="000000"/>
              <w:right w:val="single" w:sz="4" w:space="0" w:color="000000"/>
            </w:tcBorders>
          </w:tcPr>
          <w:p w14:paraId="010D77F4" w14:textId="77777777" w:rsidR="00523715" w:rsidRDefault="00523715" w:rsidP="00C50371">
            <w:pPr>
              <w:spacing w:line="259" w:lineRule="auto"/>
            </w:pPr>
            <w:r>
              <w:t xml:space="preserve">Non-Verbal Cues </w:t>
            </w:r>
          </w:p>
        </w:tc>
        <w:tc>
          <w:tcPr>
            <w:tcW w:w="2370" w:type="dxa"/>
            <w:tcBorders>
              <w:top w:val="single" w:sz="4" w:space="0" w:color="000000"/>
              <w:left w:val="single" w:sz="4" w:space="0" w:color="000000"/>
              <w:bottom w:val="single" w:sz="4" w:space="0" w:color="000000"/>
              <w:right w:val="single" w:sz="4" w:space="0" w:color="000000"/>
            </w:tcBorders>
          </w:tcPr>
          <w:p w14:paraId="7CBF8602" w14:textId="77777777" w:rsidR="00523715" w:rsidRDefault="00523715" w:rsidP="00C50371">
            <w:pPr>
              <w:spacing w:line="259" w:lineRule="auto"/>
            </w:pPr>
            <w:r>
              <w:t xml:space="preserve">No specific </w:t>
            </w:r>
          </w:p>
        </w:tc>
      </w:tr>
      <w:tr w:rsidR="00523715" w14:paraId="010AF667" w14:textId="77777777" w:rsidTr="00523715">
        <w:trPr>
          <w:trHeight w:val="353"/>
          <w:jc w:val="center"/>
        </w:trPr>
        <w:tc>
          <w:tcPr>
            <w:tcW w:w="1962" w:type="dxa"/>
            <w:vMerge w:val="restart"/>
            <w:tcBorders>
              <w:top w:val="single" w:sz="4" w:space="0" w:color="000000"/>
              <w:left w:val="single" w:sz="4" w:space="0" w:color="000000"/>
              <w:bottom w:val="single" w:sz="4" w:space="0" w:color="000000"/>
              <w:right w:val="single" w:sz="4" w:space="0" w:color="000000"/>
            </w:tcBorders>
          </w:tcPr>
          <w:p w14:paraId="37B89AE9" w14:textId="77777777" w:rsidR="00523715" w:rsidRDefault="00523715" w:rsidP="00C50371">
            <w:pPr>
              <w:spacing w:line="259" w:lineRule="auto"/>
            </w:pPr>
            <w:r>
              <w:t xml:space="preserve">Vocal Characteristics </w:t>
            </w:r>
          </w:p>
        </w:tc>
        <w:tc>
          <w:tcPr>
            <w:tcW w:w="2161" w:type="dxa"/>
            <w:tcBorders>
              <w:top w:val="single" w:sz="4" w:space="0" w:color="000000"/>
              <w:left w:val="single" w:sz="4" w:space="0" w:color="000000"/>
              <w:bottom w:val="single" w:sz="4" w:space="0" w:color="000000"/>
              <w:right w:val="single" w:sz="4" w:space="0" w:color="000000"/>
            </w:tcBorders>
          </w:tcPr>
          <w:p w14:paraId="401BA5ED" w14:textId="77777777" w:rsidR="00523715" w:rsidRDefault="00523715" w:rsidP="00C50371">
            <w:pPr>
              <w:spacing w:line="259" w:lineRule="auto"/>
            </w:pPr>
            <w:r>
              <w:t xml:space="preserve">Voice quality </w:t>
            </w:r>
          </w:p>
        </w:tc>
        <w:tc>
          <w:tcPr>
            <w:tcW w:w="2370" w:type="dxa"/>
            <w:tcBorders>
              <w:top w:val="single" w:sz="4" w:space="0" w:color="000000"/>
              <w:left w:val="single" w:sz="4" w:space="0" w:color="000000"/>
              <w:bottom w:val="single" w:sz="4" w:space="0" w:color="000000"/>
              <w:right w:val="single" w:sz="4" w:space="0" w:color="000000"/>
            </w:tcBorders>
          </w:tcPr>
          <w:p w14:paraId="7FB9414C" w14:textId="77777777" w:rsidR="00523715" w:rsidRDefault="00523715" w:rsidP="00C50371">
            <w:pPr>
              <w:spacing w:line="259" w:lineRule="auto"/>
            </w:pPr>
            <w:r>
              <w:t xml:space="preserve">Host: Softness  </w:t>
            </w:r>
          </w:p>
        </w:tc>
      </w:tr>
      <w:tr w:rsidR="00523715" w14:paraId="5207F45E" w14:textId="77777777" w:rsidTr="00523715">
        <w:trPr>
          <w:trHeight w:val="497"/>
          <w:jc w:val="center"/>
        </w:trPr>
        <w:tc>
          <w:tcPr>
            <w:tcW w:w="0" w:type="auto"/>
            <w:vMerge/>
            <w:tcBorders>
              <w:top w:val="nil"/>
              <w:left w:val="single" w:sz="4" w:space="0" w:color="000000"/>
              <w:bottom w:val="nil"/>
              <w:right w:val="single" w:sz="4" w:space="0" w:color="000000"/>
            </w:tcBorders>
          </w:tcPr>
          <w:p w14:paraId="1C9B6F37" w14:textId="77777777" w:rsidR="00523715" w:rsidRDefault="00523715" w:rsidP="00C50371">
            <w:pPr>
              <w:spacing w:after="160" w:line="259" w:lineRule="auto"/>
            </w:pPr>
          </w:p>
        </w:tc>
        <w:tc>
          <w:tcPr>
            <w:tcW w:w="2161" w:type="dxa"/>
            <w:tcBorders>
              <w:top w:val="single" w:sz="4" w:space="0" w:color="000000"/>
              <w:left w:val="single" w:sz="4" w:space="0" w:color="000000"/>
              <w:bottom w:val="single" w:sz="4" w:space="0" w:color="000000"/>
              <w:right w:val="single" w:sz="4" w:space="0" w:color="000000"/>
            </w:tcBorders>
          </w:tcPr>
          <w:p w14:paraId="12064163" w14:textId="77777777" w:rsidR="00523715" w:rsidRDefault="00523715" w:rsidP="00C50371">
            <w:pPr>
              <w:spacing w:line="259" w:lineRule="auto"/>
            </w:pPr>
            <w:r>
              <w:t xml:space="preserve">Speed Speaking Rate </w:t>
            </w:r>
          </w:p>
        </w:tc>
        <w:tc>
          <w:tcPr>
            <w:tcW w:w="2370" w:type="dxa"/>
            <w:tcBorders>
              <w:top w:val="single" w:sz="4" w:space="0" w:color="000000"/>
              <w:left w:val="single" w:sz="4" w:space="0" w:color="000000"/>
              <w:bottom w:val="single" w:sz="4" w:space="0" w:color="000000"/>
              <w:right w:val="single" w:sz="4" w:space="0" w:color="000000"/>
            </w:tcBorders>
          </w:tcPr>
          <w:p w14:paraId="15073EFC" w14:textId="77777777" w:rsidR="00523715" w:rsidRDefault="00523715" w:rsidP="00C50371">
            <w:pPr>
              <w:spacing w:line="259" w:lineRule="auto"/>
            </w:pPr>
            <w:r>
              <w:t xml:space="preserve">Host and Co-Host: 130 words / minutes </w:t>
            </w:r>
          </w:p>
        </w:tc>
      </w:tr>
      <w:tr w:rsidR="00523715" w14:paraId="3CF9546C" w14:textId="77777777" w:rsidTr="00523715">
        <w:trPr>
          <w:trHeight w:val="353"/>
          <w:jc w:val="center"/>
        </w:trPr>
        <w:tc>
          <w:tcPr>
            <w:tcW w:w="0" w:type="auto"/>
            <w:vMerge/>
            <w:tcBorders>
              <w:top w:val="nil"/>
              <w:left w:val="single" w:sz="4" w:space="0" w:color="000000"/>
              <w:bottom w:val="nil"/>
              <w:right w:val="single" w:sz="4" w:space="0" w:color="000000"/>
            </w:tcBorders>
          </w:tcPr>
          <w:p w14:paraId="16369FCB" w14:textId="77777777" w:rsidR="00523715" w:rsidRDefault="00523715" w:rsidP="00C50371">
            <w:pPr>
              <w:spacing w:after="160" w:line="259" w:lineRule="auto"/>
            </w:pPr>
          </w:p>
        </w:tc>
        <w:tc>
          <w:tcPr>
            <w:tcW w:w="2161" w:type="dxa"/>
            <w:tcBorders>
              <w:top w:val="single" w:sz="4" w:space="0" w:color="000000"/>
              <w:left w:val="single" w:sz="4" w:space="0" w:color="000000"/>
              <w:bottom w:val="single" w:sz="4" w:space="0" w:color="000000"/>
              <w:right w:val="single" w:sz="4" w:space="0" w:color="000000"/>
            </w:tcBorders>
          </w:tcPr>
          <w:p w14:paraId="489CDE40" w14:textId="77777777" w:rsidR="00523715" w:rsidRDefault="00523715" w:rsidP="00C50371">
            <w:pPr>
              <w:spacing w:line="259" w:lineRule="auto"/>
            </w:pPr>
            <w:r>
              <w:t xml:space="preserve">Power </w:t>
            </w:r>
          </w:p>
        </w:tc>
        <w:tc>
          <w:tcPr>
            <w:tcW w:w="2370" w:type="dxa"/>
            <w:tcBorders>
              <w:top w:val="single" w:sz="4" w:space="0" w:color="000000"/>
              <w:left w:val="single" w:sz="4" w:space="0" w:color="000000"/>
              <w:bottom w:val="single" w:sz="4" w:space="0" w:color="000000"/>
              <w:right w:val="single" w:sz="4" w:space="0" w:color="000000"/>
            </w:tcBorders>
          </w:tcPr>
          <w:p w14:paraId="45071D3C" w14:textId="77777777" w:rsidR="00523715" w:rsidRDefault="00523715" w:rsidP="00C50371">
            <w:pPr>
              <w:spacing w:line="259" w:lineRule="auto"/>
            </w:pPr>
            <w:r>
              <w:t xml:space="preserve">68.7-70 db </w:t>
            </w:r>
          </w:p>
        </w:tc>
      </w:tr>
      <w:tr w:rsidR="00523715" w14:paraId="3344A7A0" w14:textId="77777777" w:rsidTr="00523715">
        <w:trPr>
          <w:trHeight w:val="355"/>
          <w:jc w:val="center"/>
        </w:trPr>
        <w:tc>
          <w:tcPr>
            <w:tcW w:w="0" w:type="auto"/>
            <w:vMerge/>
            <w:tcBorders>
              <w:top w:val="nil"/>
              <w:left w:val="single" w:sz="4" w:space="0" w:color="000000"/>
              <w:bottom w:val="nil"/>
              <w:right w:val="single" w:sz="4" w:space="0" w:color="000000"/>
            </w:tcBorders>
          </w:tcPr>
          <w:p w14:paraId="442893F8" w14:textId="77777777" w:rsidR="00523715" w:rsidRDefault="00523715" w:rsidP="00C50371">
            <w:pPr>
              <w:spacing w:after="160" w:line="259" w:lineRule="auto"/>
            </w:pPr>
          </w:p>
        </w:tc>
        <w:tc>
          <w:tcPr>
            <w:tcW w:w="2161" w:type="dxa"/>
            <w:tcBorders>
              <w:top w:val="single" w:sz="4" w:space="0" w:color="000000"/>
              <w:left w:val="single" w:sz="4" w:space="0" w:color="000000"/>
              <w:bottom w:val="single" w:sz="4" w:space="0" w:color="000000"/>
              <w:right w:val="single" w:sz="4" w:space="0" w:color="000000"/>
            </w:tcBorders>
          </w:tcPr>
          <w:p w14:paraId="63C157AD" w14:textId="77777777" w:rsidR="00523715" w:rsidRDefault="00523715" w:rsidP="00C50371">
            <w:pPr>
              <w:spacing w:line="259" w:lineRule="auto"/>
            </w:pPr>
            <w:r>
              <w:t xml:space="preserve">Pauses </w:t>
            </w:r>
          </w:p>
        </w:tc>
        <w:tc>
          <w:tcPr>
            <w:tcW w:w="2370" w:type="dxa"/>
            <w:tcBorders>
              <w:top w:val="single" w:sz="4" w:space="0" w:color="000000"/>
              <w:left w:val="single" w:sz="4" w:space="0" w:color="000000"/>
              <w:bottom w:val="single" w:sz="4" w:space="0" w:color="000000"/>
              <w:right w:val="single" w:sz="4" w:space="0" w:color="000000"/>
            </w:tcBorders>
          </w:tcPr>
          <w:p w14:paraId="0B4D65BD" w14:textId="77777777" w:rsidR="00523715" w:rsidRDefault="00523715" w:rsidP="00C50371">
            <w:pPr>
              <w:spacing w:line="259" w:lineRule="auto"/>
            </w:pPr>
            <w:r>
              <w:t xml:space="preserve">5 words </w:t>
            </w:r>
          </w:p>
        </w:tc>
      </w:tr>
      <w:tr w:rsidR="00523715" w14:paraId="02F481B6" w14:textId="77777777" w:rsidTr="00523715">
        <w:trPr>
          <w:trHeight w:val="494"/>
          <w:jc w:val="center"/>
        </w:trPr>
        <w:tc>
          <w:tcPr>
            <w:tcW w:w="0" w:type="auto"/>
            <w:vMerge/>
            <w:tcBorders>
              <w:top w:val="nil"/>
              <w:left w:val="single" w:sz="4" w:space="0" w:color="000000"/>
              <w:bottom w:val="nil"/>
              <w:right w:val="single" w:sz="4" w:space="0" w:color="000000"/>
            </w:tcBorders>
          </w:tcPr>
          <w:p w14:paraId="6BDF8628" w14:textId="77777777" w:rsidR="00523715" w:rsidRDefault="00523715" w:rsidP="00C50371">
            <w:pPr>
              <w:spacing w:after="160" w:line="259" w:lineRule="auto"/>
            </w:pPr>
          </w:p>
        </w:tc>
        <w:tc>
          <w:tcPr>
            <w:tcW w:w="2161" w:type="dxa"/>
            <w:tcBorders>
              <w:top w:val="single" w:sz="4" w:space="0" w:color="000000"/>
              <w:left w:val="single" w:sz="4" w:space="0" w:color="000000"/>
              <w:bottom w:val="single" w:sz="4" w:space="0" w:color="000000"/>
              <w:right w:val="single" w:sz="4" w:space="0" w:color="000000"/>
            </w:tcBorders>
          </w:tcPr>
          <w:p w14:paraId="792A8EFC" w14:textId="77777777" w:rsidR="00523715" w:rsidRDefault="00523715" w:rsidP="00C50371">
            <w:pPr>
              <w:spacing w:line="259" w:lineRule="auto"/>
            </w:pPr>
            <w:r>
              <w:t xml:space="preserve">Intonation  </w:t>
            </w:r>
          </w:p>
        </w:tc>
        <w:tc>
          <w:tcPr>
            <w:tcW w:w="2370" w:type="dxa"/>
            <w:tcBorders>
              <w:top w:val="single" w:sz="4" w:space="0" w:color="000000"/>
              <w:left w:val="single" w:sz="4" w:space="0" w:color="000000"/>
              <w:bottom w:val="single" w:sz="4" w:space="0" w:color="000000"/>
              <w:right w:val="single" w:sz="4" w:space="0" w:color="000000"/>
            </w:tcBorders>
          </w:tcPr>
          <w:p w14:paraId="70BC4D75" w14:textId="77777777" w:rsidR="00523715" w:rsidRDefault="00523715" w:rsidP="00C50371">
            <w:pPr>
              <w:spacing w:line="259" w:lineRule="auto"/>
              <w:ind w:right="766"/>
            </w:pPr>
            <w:r>
              <w:t xml:space="preserve">Dynamic </w:t>
            </w:r>
            <w:r>
              <w:rPr>
                <w:rFonts w:eastAsia="Calibri" w:cs="Calibri"/>
              </w:rPr>
              <w:t>–</w:t>
            </w:r>
            <w:r>
              <w:t xml:space="preserve"> slow Dynamic- fast </w:t>
            </w:r>
          </w:p>
        </w:tc>
      </w:tr>
      <w:tr w:rsidR="00523715" w14:paraId="7A03AEE9" w14:textId="77777777" w:rsidTr="00523715">
        <w:trPr>
          <w:trHeight w:val="353"/>
          <w:jc w:val="center"/>
        </w:trPr>
        <w:tc>
          <w:tcPr>
            <w:tcW w:w="0" w:type="auto"/>
            <w:vMerge/>
            <w:tcBorders>
              <w:top w:val="nil"/>
              <w:left w:val="single" w:sz="4" w:space="0" w:color="000000"/>
              <w:bottom w:val="nil"/>
              <w:right w:val="single" w:sz="4" w:space="0" w:color="000000"/>
            </w:tcBorders>
          </w:tcPr>
          <w:p w14:paraId="7920CE7F" w14:textId="77777777" w:rsidR="00523715" w:rsidRDefault="00523715" w:rsidP="00C50371">
            <w:pPr>
              <w:spacing w:after="160" w:line="259" w:lineRule="auto"/>
            </w:pPr>
          </w:p>
        </w:tc>
        <w:tc>
          <w:tcPr>
            <w:tcW w:w="2161" w:type="dxa"/>
            <w:tcBorders>
              <w:top w:val="single" w:sz="4" w:space="0" w:color="000000"/>
              <w:left w:val="single" w:sz="4" w:space="0" w:color="000000"/>
              <w:bottom w:val="single" w:sz="4" w:space="0" w:color="000000"/>
              <w:right w:val="single" w:sz="4" w:space="0" w:color="000000"/>
            </w:tcBorders>
          </w:tcPr>
          <w:p w14:paraId="7A9EE4DB" w14:textId="77777777" w:rsidR="00523715" w:rsidRDefault="00523715" w:rsidP="00C50371">
            <w:pPr>
              <w:spacing w:line="259" w:lineRule="auto"/>
            </w:pPr>
            <w:r>
              <w:t xml:space="preserve">Accent </w:t>
            </w:r>
          </w:p>
        </w:tc>
        <w:tc>
          <w:tcPr>
            <w:tcW w:w="2370" w:type="dxa"/>
            <w:tcBorders>
              <w:top w:val="single" w:sz="4" w:space="0" w:color="000000"/>
              <w:left w:val="single" w:sz="4" w:space="0" w:color="000000"/>
              <w:bottom w:val="single" w:sz="4" w:space="0" w:color="000000"/>
              <w:right w:val="single" w:sz="4" w:space="0" w:color="000000"/>
            </w:tcBorders>
          </w:tcPr>
          <w:p w14:paraId="3CBEAD1B" w14:textId="77777777" w:rsidR="00523715" w:rsidRDefault="00523715" w:rsidP="00C50371">
            <w:pPr>
              <w:spacing w:line="259" w:lineRule="auto"/>
            </w:pPr>
            <w:r>
              <w:t xml:space="preserve">No specific </w:t>
            </w:r>
          </w:p>
        </w:tc>
      </w:tr>
      <w:tr w:rsidR="00523715" w14:paraId="06E9F2AE" w14:textId="77777777" w:rsidTr="00523715">
        <w:trPr>
          <w:trHeight w:val="355"/>
          <w:jc w:val="center"/>
        </w:trPr>
        <w:tc>
          <w:tcPr>
            <w:tcW w:w="0" w:type="auto"/>
            <w:vMerge/>
            <w:tcBorders>
              <w:top w:val="nil"/>
              <w:left w:val="single" w:sz="4" w:space="0" w:color="000000"/>
              <w:bottom w:val="nil"/>
              <w:right w:val="single" w:sz="4" w:space="0" w:color="000000"/>
            </w:tcBorders>
          </w:tcPr>
          <w:p w14:paraId="7A5A1322" w14:textId="77777777" w:rsidR="00523715" w:rsidRDefault="00523715" w:rsidP="00C50371">
            <w:pPr>
              <w:spacing w:after="160" w:line="259" w:lineRule="auto"/>
            </w:pPr>
          </w:p>
        </w:tc>
        <w:tc>
          <w:tcPr>
            <w:tcW w:w="2161" w:type="dxa"/>
            <w:tcBorders>
              <w:top w:val="single" w:sz="4" w:space="0" w:color="000000"/>
              <w:left w:val="single" w:sz="4" w:space="0" w:color="000000"/>
              <w:bottom w:val="single" w:sz="4" w:space="0" w:color="000000"/>
              <w:right w:val="single" w:sz="4" w:space="0" w:color="000000"/>
            </w:tcBorders>
          </w:tcPr>
          <w:p w14:paraId="6C9CEE2B" w14:textId="77777777" w:rsidR="00523715" w:rsidRDefault="00523715" w:rsidP="00C50371">
            <w:pPr>
              <w:spacing w:line="259" w:lineRule="auto"/>
            </w:pPr>
            <w:r>
              <w:t xml:space="preserve">Switch Code </w:t>
            </w:r>
          </w:p>
        </w:tc>
        <w:tc>
          <w:tcPr>
            <w:tcW w:w="2370" w:type="dxa"/>
            <w:tcBorders>
              <w:top w:val="single" w:sz="4" w:space="0" w:color="000000"/>
              <w:left w:val="single" w:sz="4" w:space="0" w:color="000000"/>
              <w:bottom w:val="single" w:sz="4" w:space="0" w:color="000000"/>
              <w:right w:val="single" w:sz="4" w:space="0" w:color="000000"/>
            </w:tcBorders>
          </w:tcPr>
          <w:p w14:paraId="5B69DA56" w14:textId="77777777" w:rsidR="00523715" w:rsidRDefault="00523715" w:rsidP="00C50371">
            <w:pPr>
              <w:spacing w:line="259" w:lineRule="auto"/>
            </w:pPr>
            <w:r>
              <w:t xml:space="preserve">No specific </w:t>
            </w:r>
          </w:p>
        </w:tc>
      </w:tr>
      <w:tr w:rsidR="00523715" w14:paraId="07CA538F" w14:textId="77777777" w:rsidTr="00523715">
        <w:trPr>
          <w:trHeight w:val="355"/>
          <w:jc w:val="center"/>
        </w:trPr>
        <w:tc>
          <w:tcPr>
            <w:tcW w:w="0" w:type="auto"/>
            <w:vMerge/>
            <w:tcBorders>
              <w:top w:val="nil"/>
              <w:left w:val="single" w:sz="4" w:space="0" w:color="000000"/>
              <w:bottom w:val="single" w:sz="4" w:space="0" w:color="000000"/>
              <w:right w:val="single" w:sz="4" w:space="0" w:color="000000"/>
            </w:tcBorders>
          </w:tcPr>
          <w:p w14:paraId="580FC418" w14:textId="77777777" w:rsidR="00523715" w:rsidRDefault="00523715" w:rsidP="00C50371">
            <w:pPr>
              <w:spacing w:after="160" w:line="259" w:lineRule="auto"/>
            </w:pPr>
          </w:p>
        </w:tc>
        <w:tc>
          <w:tcPr>
            <w:tcW w:w="2161" w:type="dxa"/>
            <w:tcBorders>
              <w:top w:val="single" w:sz="4" w:space="0" w:color="000000"/>
              <w:left w:val="single" w:sz="4" w:space="0" w:color="000000"/>
              <w:bottom w:val="single" w:sz="4" w:space="0" w:color="000000"/>
              <w:right w:val="single" w:sz="4" w:space="0" w:color="000000"/>
            </w:tcBorders>
          </w:tcPr>
          <w:p w14:paraId="6FE2A01D" w14:textId="77777777" w:rsidR="00523715" w:rsidRDefault="00523715" w:rsidP="00C50371">
            <w:pPr>
              <w:spacing w:line="259" w:lineRule="auto"/>
            </w:pPr>
            <w:r>
              <w:t xml:space="preserve">Frequent words </w:t>
            </w:r>
          </w:p>
        </w:tc>
        <w:tc>
          <w:tcPr>
            <w:tcW w:w="2370" w:type="dxa"/>
            <w:tcBorders>
              <w:top w:val="single" w:sz="4" w:space="0" w:color="000000"/>
              <w:left w:val="single" w:sz="4" w:space="0" w:color="000000"/>
              <w:bottom w:val="single" w:sz="4" w:space="0" w:color="000000"/>
              <w:right w:val="single" w:sz="4" w:space="0" w:color="000000"/>
            </w:tcBorders>
          </w:tcPr>
          <w:p w14:paraId="642558BE" w14:textId="77777777" w:rsidR="00523715" w:rsidRDefault="00523715" w:rsidP="00C50371">
            <w:pPr>
              <w:spacing w:line="259" w:lineRule="auto"/>
            </w:pPr>
            <w:r>
              <w:t xml:space="preserve">Bunda </w:t>
            </w:r>
          </w:p>
        </w:tc>
      </w:tr>
    </w:tbl>
    <w:p w14:paraId="1235EFDA" w14:textId="77777777" w:rsidR="00523715" w:rsidRPr="00BF0EBE" w:rsidRDefault="00523715" w:rsidP="00523715">
      <w:pPr>
        <w:jc w:val="center"/>
        <w:rPr>
          <w:rFonts w:ascii="Calibri" w:eastAsia="Calibri" w:hAnsi="Calibri" w:cs="Calibri"/>
        </w:rPr>
      </w:pPr>
      <w:bookmarkStart w:id="4" w:name="_Hlk152161522"/>
      <w:r w:rsidRPr="00BF0EBE">
        <w:rPr>
          <w:rFonts w:ascii="Calibri" w:eastAsia="Calibri" w:hAnsi="Calibri" w:cs="Calibri"/>
        </w:rPr>
        <w:t>Source: Research Result, 2023</w:t>
      </w:r>
    </w:p>
    <w:bookmarkEnd w:id="4"/>
    <w:p w14:paraId="119EBE96" w14:textId="52465DED" w:rsidR="00523715" w:rsidRDefault="00523715" w:rsidP="00523715">
      <w:pPr>
        <w:pBdr>
          <w:top w:val="nil"/>
          <w:left w:val="nil"/>
          <w:bottom w:val="nil"/>
          <w:right w:val="nil"/>
          <w:between w:val="nil"/>
        </w:pBdr>
        <w:ind w:firstLine="720"/>
        <w:jc w:val="both"/>
        <w:rPr>
          <w:rFonts w:ascii="Calibri" w:eastAsia="Calibri" w:hAnsi="Calibri" w:cs="Calibri"/>
          <w:color w:val="000000"/>
          <w:sz w:val="22"/>
          <w:szCs w:val="22"/>
        </w:rPr>
      </w:pPr>
    </w:p>
    <w:p w14:paraId="77F442F4" w14:textId="55C8C0F1" w:rsidR="00523715" w:rsidRPr="00523715" w:rsidRDefault="00523715" w:rsidP="00523715">
      <w:pPr>
        <w:pBdr>
          <w:top w:val="nil"/>
          <w:left w:val="nil"/>
          <w:bottom w:val="nil"/>
          <w:right w:val="nil"/>
          <w:between w:val="nil"/>
        </w:pBdr>
        <w:ind w:firstLine="720"/>
        <w:jc w:val="both"/>
        <w:rPr>
          <w:rFonts w:ascii="Calibri" w:eastAsia="Calibri" w:hAnsi="Calibri" w:cs="Calibri"/>
          <w:color w:val="000000"/>
          <w:sz w:val="22"/>
          <w:szCs w:val="22"/>
        </w:rPr>
      </w:pPr>
      <w:r w:rsidRPr="00523715">
        <w:rPr>
          <w:rFonts w:ascii="Calibri" w:eastAsia="Calibri" w:hAnsi="Calibri" w:cs="Calibri"/>
          <w:color w:val="000000"/>
          <w:sz w:val="22"/>
          <w:szCs w:val="22"/>
        </w:rPr>
        <w:t xml:space="preserve">The hosts of Oxone do essentially the same thing as hosts in Moslem Limited.  Most of them are salesperson categorized interaction-oriented style dan emotive person. However, certain hosts may adopt a task-oriented approach, resulting in their adoption of a directive style. The primary reason is only few viewers who take part in their live streaming commerce, so they prefer to focus on product explanations rather than audience interaction. This style remains us of a host on TV home shopping programmed who priorities details of product use, instead of engaging with the audience. However, when it comes to interactive hosts, they warmly welcome customers and gladly field their inquiries. The hosts answer customer’s concerns, they also provide an abundance of product information and explain it clearly and without haste. Oxone actually has a high sales target but is not fully responsible for the host. </w:t>
      </w:r>
    </w:p>
    <w:p w14:paraId="2DE95DD5" w14:textId="77777777" w:rsidR="00523715" w:rsidRDefault="00523715" w:rsidP="00523715">
      <w:pPr>
        <w:jc w:val="center"/>
        <w:rPr>
          <w:rFonts w:ascii="Calibri" w:eastAsia="Calibri" w:hAnsi="Calibri" w:cs="Calibri"/>
          <w:bCs/>
          <w:sz w:val="22"/>
          <w:szCs w:val="22"/>
        </w:rPr>
      </w:pPr>
    </w:p>
    <w:p w14:paraId="29281A5C" w14:textId="77777777" w:rsidR="00CD0E94" w:rsidRPr="00CD0E94" w:rsidRDefault="00CD0E94" w:rsidP="00CD0E94">
      <w:pPr>
        <w:keepNext/>
        <w:keepLines/>
        <w:spacing w:after="5" w:line="250" w:lineRule="auto"/>
        <w:ind w:left="-5" w:hanging="10"/>
        <w:outlineLvl w:val="0"/>
        <w:rPr>
          <w:rFonts w:ascii="Calibri" w:eastAsia="Calibri" w:hAnsi="Calibri" w:cs="Calibri"/>
          <w:b/>
          <w:color w:val="000000"/>
          <w:sz w:val="24"/>
          <w:szCs w:val="22"/>
          <w:lang w:val="en-ID"/>
        </w:rPr>
      </w:pPr>
      <w:r w:rsidRPr="00CD0E94">
        <w:rPr>
          <w:rFonts w:ascii="Calibri" w:eastAsia="Calibri" w:hAnsi="Calibri" w:cs="Calibri"/>
          <w:b/>
          <w:color w:val="000000"/>
          <w:sz w:val="24"/>
          <w:szCs w:val="22"/>
          <w:lang w:val="en-ID"/>
        </w:rPr>
        <w:t xml:space="preserve">Sitytuppyreal </w:t>
      </w:r>
    </w:p>
    <w:p w14:paraId="028814E4" w14:textId="77777777" w:rsidR="00CD0E94" w:rsidRPr="00CD0E94" w:rsidRDefault="00CD0E94" w:rsidP="00CD0E94">
      <w:pPr>
        <w:spacing w:after="5" w:line="250" w:lineRule="auto"/>
        <w:ind w:left="-15" w:firstLine="710"/>
        <w:jc w:val="both"/>
        <w:rPr>
          <w:rFonts w:ascii="Calibri" w:eastAsia="Calibri" w:hAnsi="Calibri" w:cs="Calibri"/>
          <w:color w:val="000000"/>
          <w:sz w:val="22"/>
          <w:lang w:val="en-ID"/>
        </w:rPr>
      </w:pPr>
      <w:r w:rsidRPr="00CD0E94">
        <w:rPr>
          <w:rFonts w:ascii="Calibri" w:eastAsia="Calibri" w:hAnsi="Calibri" w:cs="Calibri"/>
          <w:color w:val="000000"/>
          <w:sz w:val="22"/>
          <w:lang w:val="en-ID"/>
        </w:rPr>
        <w:t xml:space="preserve">Sitytuppyreal has been engaged in retail of pre-owned Tupperware for a decade. In the beginning, the sales approach employed conventionally “door to door”, direct selling of households in rural areas and residential communities. In 2012, Sitituppy initiated a business </w:t>
      </w:r>
    </w:p>
    <w:p w14:paraId="4EFCA407" w14:textId="2D0278F8" w:rsidR="00CD0E94" w:rsidRPr="00CD0E94" w:rsidRDefault="00CD0E94" w:rsidP="00CD0E94">
      <w:pPr>
        <w:spacing w:after="5" w:line="250" w:lineRule="auto"/>
        <w:ind w:left="-15"/>
        <w:jc w:val="both"/>
        <w:rPr>
          <w:rFonts w:ascii="Calibri" w:eastAsia="Calibri" w:hAnsi="Calibri" w:cs="Calibri"/>
          <w:color w:val="000000"/>
          <w:sz w:val="22"/>
          <w:lang w:val="en-ID"/>
        </w:rPr>
      </w:pPr>
      <w:r w:rsidRPr="00CD0E94">
        <w:rPr>
          <w:rFonts w:ascii="Calibri" w:eastAsia="Calibri" w:hAnsi="Calibri" w:cs="Calibri"/>
          <w:color w:val="000000"/>
          <w:sz w:val="22"/>
          <w:lang w:val="en-ID"/>
        </w:rPr>
        <w:t xml:space="preserve">venture using Facebook and created its own business page, without using a landing page or Facebook marketplace.  Sitytuppy was engaged in TikTok commercial activities when the pandemic hit with the emergence of live streaming commerce. Subsequently, he extended an invitation to his Facebook subscribers to engage in purchasing activities on TikTok. The number of individuals in attendance during his live-streaming sessions consistently surpasses 100 viewers. The sales level is also elevated. The host’s rate of speech is recorded at 120 words per minute with an average pause of 4 words. Additionally, the volume level of the speech ranges between 72 to 78 decibels. </w:t>
      </w:r>
    </w:p>
    <w:p w14:paraId="52E79B55" w14:textId="65FD3E5D" w:rsidR="00CD0E94" w:rsidRPr="00CD0E94" w:rsidRDefault="00CD0E94" w:rsidP="00CD0E94">
      <w:pPr>
        <w:spacing w:after="5" w:line="250" w:lineRule="auto"/>
        <w:ind w:left="-15"/>
        <w:jc w:val="center"/>
        <w:rPr>
          <w:rFonts w:ascii="Calibri" w:eastAsia="Calibri" w:hAnsi="Calibri" w:cs="Calibri"/>
          <w:color w:val="000000"/>
          <w:sz w:val="24"/>
          <w:szCs w:val="22"/>
          <w:lang w:val="en-ID"/>
        </w:rPr>
      </w:pPr>
      <w:r>
        <w:rPr>
          <w:rFonts w:ascii="Calibri" w:eastAsia="Calibri" w:hAnsi="Calibri" w:cs="Calibri"/>
          <w:noProof/>
          <w:color w:val="000000"/>
          <w:sz w:val="24"/>
          <w:szCs w:val="22"/>
          <w:lang w:val="en-ID"/>
        </w:rPr>
        <w:lastRenderedPageBreak/>
        <w:drawing>
          <wp:inline distT="0" distB="0" distL="0" distR="0" wp14:anchorId="7BEB1F66" wp14:editId="1E0CA406">
            <wp:extent cx="1481455" cy="257873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1455" cy="2578735"/>
                    </a:xfrm>
                    <a:prstGeom prst="rect">
                      <a:avLst/>
                    </a:prstGeom>
                    <a:noFill/>
                  </pic:spPr>
                </pic:pic>
              </a:graphicData>
            </a:graphic>
          </wp:inline>
        </w:drawing>
      </w:r>
    </w:p>
    <w:p w14:paraId="26006B90" w14:textId="0D6AD6A4" w:rsidR="00CD0E94" w:rsidRDefault="00CD0E94" w:rsidP="00CD0E94">
      <w:pPr>
        <w:jc w:val="center"/>
        <w:rPr>
          <w:rFonts w:ascii="Calibri" w:eastAsia="Calibri" w:hAnsi="Calibri" w:cs="Calibri"/>
          <w:bCs/>
        </w:rPr>
      </w:pPr>
      <w:r w:rsidRPr="008B6717">
        <w:rPr>
          <w:rFonts w:ascii="Calibri" w:eastAsia="Calibri" w:hAnsi="Calibri" w:cs="Calibri"/>
          <w:bCs/>
        </w:rPr>
        <w:t xml:space="preserve">Figure </w:t>
      </w:r>
      <w:r>
        <w:rPr>
          <w:rFonts w:ascii="Calibri" w:eastAsia="Calibri" w:hAnsi="Calibri" w:cs="Calibri"/>
          <w:bCs/>
        </w:rPr>
        <w:t>3</w:t>
      </w:r>
      <w:r w:rsidRPr="008B6717">
        <w:rPr>
          <w:rFonts w:ascii="Calibri" w:eastAsia="Calibri" w:hAnsi="Calibri" w:cs="Calibri"/>
          <w:bCs/>
        </w:rPr>
        <w:t xml:space="preserve">. Host of </w:t>
      </w:r>
      <w:r>
        <w:rPr>
          <w:rFonts w:ascii="Calibri" w:eastAsia="Calibri" w:hAnsi="Calibri" w:cs="Calibri"/>
          <w:bCs/>
        </w:rPr>
        <w:t>Oxone</w:t>
      </w:r>
    </w:p>
    <w:p w14:paraId="792B3253" w14:textId="77777777" w:rsidR="00CD0E94" w:rsidRDefault="00CD0E94" w:rsidP="00CD0E94">
      <w:pPr>
        <w:jc w:val="center"/>
        <w:rPr>
          <w:rFonts w:ascii="Calibri" w:eastAsia="Calibri" w:hAnsi="Calibri" w:cs="Calibri"/>
          <w:bCs/>
        </w:rPr>
      </w:pPr>
      <w:r>
        <w:rPr>
          <w:rFonts w:ascii="Calibri" w:eastAsia="Calibri" w:hAnsi="Calibri" w:cs="Calibri"/>
          <w:bCs/>
        </w:rPr>
        <w:t>(Source: TikTok, 2023)</w:t>
      </w:r>
    </w:p>
    <w:p w14:paraId="778AE1AC" w14:textId="09369124" w:rsidR="00CD0E94" w:rsidRDefault="00CD0E94" w:rsidP="00CD0E94">
      <w:pPr>
        <w:spacing w:after="5" w:line="250" w:lineRule="auto"/>
        <w:ind w:right="-8" w:firstLine="878"/>
        <w:jc w:val="both"/>
        <w:rPr>
          <w:rFonts w:ascii="Calibri" w:eastAsia="Calibri" w:hAnsi="Calibri" w:cs="Calibri"/>
          <w:i/>
          <w:color w:val="000000"/>
          <w:sz w:val="24"/>
          <w:szCs w:val="22"/>
          <w:lang w:val="en-ID"/>
        </w:rPr>
      </w:pPr>
    </w:p>
    <w:p w14:paraId="4D2D83E6" w14:textId="5080C824" w:rsidR="00CD0E94" w:rsidRPr="00CD0E94" w:rsidRDefault="00CD0E94" w:rsidP="00CD0E94">
      <w:pPr>
        <w:spacing w:after="5" w:line="250" w:lineRule="auto"/>
        <w:ind w:right="-8" w:firstLine="878"/>
        <w:jc w:val="both"/>
        <w:rPr>
          <w:rFonts w:ascii="Calibri" w:eastAsia="Calibri" w:hAnsi="Calibri" w:cs="Calibri"/>
          <w:color w:val="000000"/>
          <w:sz w:val="22"/>
          <w:lang w:val="en-ID"/>
        </w:rPr>
      </w:pPr>
      <w:r w:rsidRPr="00CD0E94">
        <w:rPr>
          <w:rFonts w:ascii="Calibri" w:eastAsia="Calibri" w:hAnsi="Calibri" w:cs="Calibri"/>
          <w:i/>
          <w:color w:val="000000"/>
          <w:sz w:val="22"/>
          <w:lang w:val="en-ID"/>
        </w:rPr>
        <w:t xml:space="preserve">“Saya spill dulu seratus enam enam ini  yah bun/ saya spill dulu yah bun/ teko bunda/ takutnya bunda tadi belum nyimak/ Teko bunda/ dapatnya teko dua liter seperti ini/ dapat lagi bowl lima ratus mili/ bowl lagi lima ratus mili/ Ini ada di kode serratus tujuh puluh yah bun/ tuperwar/ di cekout bun/mantan bunda/ paket yuk bunda kalau tas/ tas saja/ ini toples bunda/ toples bunda/ kode lima empat/ yang mau silahkan/ yuk kode lima empat/ ada yang mau gak nih bun/ gak ada isinya bunda/ gak ada isinya tuh yah bun/ yang mau monggo/ oke bunda cakap ini yah/ tas nya awet bant/ awet bangeeet//  </w:t>
      </w:r>
    </w:p>
    <w:p w14:paraId="4BB81B68" w14:textId="77777777" w:rsidR="00CD0E94" w:rsidRDefault="00CD0E94" w:rsidP="00CD0E94">
      <w:pPr>
        <w:jc w:val="center"/>
        <w:rPr>
          <w:rFonts w:ascii="Calibri" w:eastAsia="Calibri" w:hAnsi="Calibri" w:cs="Calibri"/>
          <w:bCs/>
        </w:rPr>
      </w:pPr>
    </w:p>
    <w:p w14:paraId="106AE3D2" w14:textId="31F3657C" w:rsidR="00CD0E94" w:rsidRPr="008B6717" w:rsidRDefault="00CD0E94" w:rsidP="00CD0E94">
      <w:pPr>
        <w:jc w:val="center"/>
        <w:rPr>
          <w:rFonts w:ascii="Calibri" w:eastAsia="Calibri" w:hAnsi="Calibri" w:cs="Calibri"/>
          <w:bCs/>
        </w:rPr>
      </w:pPr>
      <w:r w:rsidRPr="008B6717">
        <w:rPr>
          <w:rFonts w:ascii="Calibri" w:eastAsia="Calibri" w:hAnsi="Calibri" w:cs="Calibri"/>
          <w:bCs/>
        </w:rPr>
        <w:t xml:space="preserve">Table </w:t>
      </w:r>
      <w:r>
        <w:rPr>
          <w:rFonts w:ascii="Calibri" w:eastAsia="Calibri" w:hAnsi="Calibri" w:cs="Calibri"/>
          <w:bCs/>
        </w:rPr>
        <w:t>5</w:t>
      </w:r>
      <w:r w:rsidRPr="008B6717">
        <w:rPr>
          <w:rFonts w:ascii="Calibri" w:eastAsia="Calibri" w:hAnsi="Calibri" w:cs="Calibri"/>
          <w:bCs/>
        </w:rPr>
        <w:t>.</w:t>
      </w:r>
      <w:r>
        <w:rPr>
          <w:rFonts w:ascii="Calibri" w:eastAsia="Calibri" w:hAnsi="Calibri" w:cs="Calibri"/>
          <w:bCs/>
        </w:rPr>
        <w:t xml:space="preserve"> D</w:t>
      </w:r>
      <w:r w:rsidRPr="008B6717">
        <w:rPr>
          <w:rFonts w:ascii="Calibri" w:eastAsia="Calibri" w:hAnsi="Calibri" w:cs="Calibri"/>
          <w:bCs/>
        </w:rPr>
        <w:t xml:space="preserve">elivery </w:t>
      </w:r>
      <w:r>
        <w:rPr>
          <w:rFonts w:ascii="Calibri" w:eastAsia="Calibri" w:hAnsi="Calibri" w:cs="Calibri"/>
          <w:bCs/>
        </w:rPr>
        <w:t>M</w:t>
      </w:r>
      <w:r w:rsidRPr="008B6717">
        <w:rPr>
          <w:rFonts w:ascii="Calibri" w:eastAsia="Calibri" w:hAnsi="Calibri" w:cs="Calibri"/>
          <w:bCs/>
        </w:rPr>
        <w:t>ethods</w:t>
      </w:r>
      <w:r>
        <w:rPr>
          <w:rFonts w:ascii="Calibri" w:eastAsia="Calibri" w:hAnsi="Calibri" w:cs="Calibri"/>
          <w:bCs/>
        </w:rPr>
        <w:t xml:space="preserve"> of </w:t>
      </w:r>
      <w:r>
        <w:rPr>
          <w:rFonts w:asciiTheme="minorHAnsi" w:eastAsia="Calibri" w:hAnsiTheme="minorHAnsi" w:cstheme="minorHAnsi"/>
          <w:bCs/>
          <w:lang w:val="en-ID"/>
        </w:rPr>
        <w:t>Oxone’s Host</w:t>
      </w:r>
    </w:p>
    <w:tbl>
      <w:tblPr>
        <w:tblStyle w:val="TableGrid1"/>
        <w:tblW w:w="6403" w:type="dxa"/>
        <w:jc w:val="center"/>
        <w:tblInd w:w="0" w:type="dxa"/>
        <w:tblCellMar>
          <w:top w:w="53" w:type="dxa"/>
          <w:left w:w="108" w:type="dxa"/>
          <w:bottom w:w="0" w:type="dxa"/>
          <w:right w:w="115" w:type="dxa"/>
        </w:tblCellMar>
        <w:tblLook w:val="04A0" w:firstRow="1" w:lastRow="0" w:firstColumn="1" w:lastColumn="0" w:noHBand="0" w:noVBand="1"/>
      </w:tblPr>
      <w:tblGrid>
        <w:gridCol w:w="1935"/>
        <w:gridCol w:w="2130"/>
        <w:gridCol w:w="2338"/>
      </w:tblGrid>
      <w:tr w:rsidR="00CD0E94" w:rsidRPr="00CD0E94" w14:paraId="073F9878" w14:textId="77777777" w:rsidTr="00CD0E94">
        <w:trPr>
          <w:trHeight w:val="356"/>
          <w:jc w:val="center"/>
        </w:trPr>
        <w:tc>
          <w:tcPr>
            <w:tcW w:w="1935" w:type="dxa"/>
            <w:tcBorders>
              <w:top w:val="single" w:sz="4" w:space="0" w:color="000000"/>
              <w:left w:val="single" w:sz="4" w:space="0" w:color="000000"/>
              <w:bottom w:val="single" w:sz="4" w:space="0" w:color="000000"/>
              <w:right w:val="nil"/>
            </w:tcBorders>
          </w:tcPr>
          <w:p w14:paraId="21B7E42D" w14:textId="77777777" w:rsidR="00CD0E94" w:rsidRPr="00CD0E94" w:rsidRDefault="00CD0E94" w:rsidP="00CD0E94">
            <w:pPr>
              <w:spacing w:after="160" w:line="259" w:lineRule="auto"/>
              <w:rPr>
                <w:rFonts w:eastAsia="Calibri" w:cs="Calibri"/>
                <w:color w:val="000000"/>
                <w:szCs w:val="20"/>
              </w:rPr>
            </w:pPr>
          </w:p>
        </w:tc>
        <w:tc>
          <w:tcPr>
            <w:tcW w:w="2130" w:type="dxa"/>
            <w:tcBorders>
              <w:top w:val="single" w:sz="4" w:space="0" w:color="000000"/>
              <w:left w:val="nil"/>
              <w:bottom w:val="single" w:sz="4" w:space="0" w:color="000000"/>
              <w:right w:val="nil"/>
            </w:tcBorders>
          </w:tcPr>
          <w:p w14:paraId="26B96824" w14:textId="77777777" w:rsidR="00CD0E94" w:rsidRPr="00CD0E94" w:rsidRDefault="00CD0E94" w:rsidP="00CD0E94">
            <w:pPr>
              <w:spacing w:line="259" w:lineRule="auto"/>
              <w:ind w:left="597"/>
              <w:jc w:val="center"/>
              <w:rPr>
                <w:rFonts w:eastAsia="Calibri" w:cs="Calibri"/>
                <w:color w:val="000000"/>
                <w:szCs w:val="20"/>
              </w:rPr>
            </w:pPr>
            <w:r w:rsidRPr="00CD0E94">
              <w:rPr>
                <w:rFonts w:eastAsia="Calibri" w:cs="Calibri"/>
                <w:color w:val="000000"/>
                <w:szCs w:val="20"/>
              </w:rPr>
              <w:t xml:space="preserve">Oxone </w:t>
            </w:r>
          </w:p>
        </w:tc>
        <w:tc>
          <w:tcPr>
            <w:tcW w:w="2338" w:type="dxa"/>
            <w:tcBorders>
              <w:top w:val="single" w:sz="4" w:space="0" w:color="000000"/>
              <w:left w:val="nil"/>
              <w:bottom w:val="single" w:sz="4" w:space="0" w:color="000000"/>
              <w:right w:val="single" w:sz="4" w:space="0" w:color="000000"/>
            </w:tcBorders>
          </w:tcPr>
          <w:p w14:paraId="31DD0618" w14:textId="77777777" w:rsidR="00CD0E94" w:rsidRPr="00CD0E94" w:rsidRDefault="00CD0E94" w:rsidP="00CD0E94">
            <w:pPr>
              <w:spacing w:after="160" w:line="259" w:lineRule="auto"/>
              <w:rPr>
                <w:rFonts w:eastAsia="Calibri" w:cs="Calibri"/>
                <w:color w:val="000000"/>
                <w:szCs w:val="20"/>
              </w:rPr>
            </w:pPr>
          </w:p>
        </w:tc>
      </w:tr>
      <w:tr w:rsidR="00CD0E94" w:rsidRPr="00CD0E94" w14:paraId="1A651098" w14:textId="77777777" w:rsidTr="00CD0E94">
        <w:trPr>
          <w:trHeight w:val="357"/>
          <w:jc w:val="center"/>
        </w:trPr>
        <w:tc>
          <w:tcPr>
            <w:tcW w:w="1935" w:type="dxa"/>
            <w:vMerge w:val="restart"/>
            <w:tcBorders>
              <w:top w:val="single" w:sz="4" w:space="0" w:color="000000"/>
              <w:left w:val="single" w:sz="4" w:space="0" w:color="000000"/>
              <w:bottom w:val="single" w:sz="4" w:space="0" w:color="000000"/>
              <w:right w:val="single" w:sz="4" w:space="0" w:color="000000"/>
            </w:tcBorders>
          </w:tcPr>
          <w:p w14:paraId="2DC8ED97"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Physical Appearance </w:t>
            </w:r>
          </w:p>
        </w:tc>
        <w:tc>
          <w:tcPr>
            <w:tcW w:w="2130" w:type="dxa"/>
            <w:tcBorders>
              <w:top w:val="single" w:sz="4" w:space="0" w:color="000000"/>
              <w:left w:val="single" w:sz="4" w:space="0" w:color="000000"/>
              <w:bottom w:val="single" w:sz="4" w:space="0" w:color="000000"/>
              <w:right w:val="single" w:sz="4" w:space="0" w:color="000000"/>
            </w:tcBorders>
          </w:tcPr>
          <w:p w14:paraId="104F83F6"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Style </w:t>
            </w:r>
          </w:p>
        </w:tc>
        <w:tc>
          <w:tcPr>
            <w:tcW w:w="2338" w:type="dxa"/>
            <w:tcBorders>
              <w:top w:val="single" w:sz="4" w:space="0" w:color="000000"/>
              <w:left w:val="single" w:sz="4" w:space="0" w:color="000000"/>
              <w:bottom w:val="single" w:sz="4" w:space="0" w:color="000000"/>
              <w:right w:val="single" w:sz="4" w:space="0" w:color="000000"/>
            </w:tcBorders>
          </w:tcPr>
          <w:p w14:paraId="5586407E"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Behind the scene </w:t>
            </w:r>
          </w:p>
        </w:tc>
      </w:tr>
      <w:tr w:rsidR="00CD0E94" w:rsidRPr="00CD0E94" w14:paraId="080D7432" w14:textId="77777777" w:rsidTr="00CD0E94">
        <w:trPr>
          <w:trHeight w:val="376"/>
          <w:jc w:val="center"/>
        </w:trPr>
        <w:tc>
          <w:tcPr>
            <w:tcW w:w="0" w:type="auto"/>
            <w:vMerge/>
            <w:tcBorders>
              <w:top w:val="nil"/>
              <w:left w:val="single" w:sz="4" w:space="0" w:color="000000"/>
              <w:bottom w:val="nil"/>
              <w:right w:val="single" w:sz="4" w:space="0" w:color="000000"/>
            </w:tcBorders>
          </w:tcPr>
          <w:p w14:paraId="323A637F" w14:textId="77777777" w:rsidR="00CD0E94" w:rsidRPr="00CD0E94" w:rsidRDefault="00CD0E94" w:rsidP="00CD0E94">
            <w:pPr>
              <w:spacing w:after="160" w:line="259" w:lineRule="auto"/>
              <w:rPr>
                <w:rFonts w:eastAsia="Calibri" w:cs="Calibri"/>
                <w:color w:val="000000"/>
                <w:szCs w:val="20"/>
              </w:rPr>
            </w:pPr>
          </w:p>
        </w:tc>
        <w:tc>
          <w:tcPr>
            <w:tcW w:w="2130" w:type="dxa"/>
            <w:tcBorders>
              <w:top w:val="single" w:sz="4" w:space="0" w:color="000000"/>
              <w:left w:val="single" w:sz="4" w:space="0" w:color="000000"/>
              <w:bottom w:val="single" w:sz="4" w:space="0" w:color="000000"/>
              <w:right w:val="single" w:sz="4" w:space="0" w:color="000000"/>
            </w:tcBorders>
          </w:tcPr>
          <w:p w14:paraId="0507D588"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Gesture </w:t>
            </w:r>
          </w:p>
        </w:tc>
        <w:tc>
          <w:tcPr>
            <w:tcW w:w="2338" w:type="dxa"/>
            <w:tcBorders>
              <w:top w:val="single" w:sz="4" w:space="0" w:color="000000"/>
              <w:left w:val="single" w:sz="4" w:space="0" w:color="000000"/>
              <w:bottom w:val="single" w:sz="4" w:space="0" w:color="000000"/>
              <w:right w:val="single" w:sz="4" w:space="0" w:color="000000"/>
            </w:tcBorders>
          </w:tcPr>
          <w:p w14:paraId="18978672"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No Specific </w:t>
            </w:r>
          </w:p>
        </w:tc>
      </w:tr>
      <w:tr w:rsidR="00CD0E94" w:rsidRPr="00CD0E94" w14:paraId="5E09D18E" w14:textId="77777777" w:rsidTr="00CD0E94">
        <w:trPr>
          <w:trHeight w:val="356"/>
          <w:jc w:val="center"/>
        </w:trPr>
        <w:tc>
          <w:tcPr>
            <w:tcW w:w="0" w:type="auto"/>
            <w:vMerge/>
            <w:tcBorders>
              <w:top w:val="nil"/>
              <w:left w:val="single" w:sz="4" w:space="0" w:color="000000"/>
              <w:bottom w:val="single" w:sz="4" w:space="0" w:color="000000"/>
              <w:right w:val="single" w:sz="4" w:space="0" w:color="000000"/>
            </w:tcBorders>
          </w:tcPr>
          <w:p w14:paraId="072F5F29" w14:textId="77777777" w:rsidR="00CD0E94" w:rsidRPr="00CD0E94" w:rsidRDefault="00CD0E94" w:rsidP="00CD0E94">
            <w:pPr>
              <w:spacing w:after="160" w:line="259" w:lineRule="auto"/>
              <w:rPr>
                <w:rFonts w:eastAsia="Calibri" w:cs="Calibri"/>
                <w:color w:val="000000"/>
                <w:szCs w:val="20"/>
              </w:rPr>
            </w:pPr>
          </w:p>
        </w:tc>
        <w:tc>
          <w:tcPr>
            <w:tcW w:w="2130" w:type="dxa"/>
            <w:tcBorders>
              <w:top w:val="single" w:sz="4" w:space="0" w:color="000000"/>
              <w:left w:val="single" w:sz="4" w:space="0" w:color="000000"/>
              <w:bottom w:val="single" w:sz="4" w:space="0" w:color="000000"/>
              <w:right w:val="single" w:sz="4" w:space="0" w:color="000000"/>
            </w:tcBorders>
          </w:tcPr>
          <w:p w14:paraId="3F6255D3"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Non-Verbal Cues </w:t>
            </w:r>
          </w:p>
        </w:tc>
        <w:tc>
          <w:tcPr>
            <w:tcW w:w="2338" w:type="dxa"/>
            <w:tcBorders>
              <w:top w:val="single" w:sz="4" w:space="0" w:color="000000"/>
              <w:left w:val="single" w:sz="4" w:space="0" w:color="000000"/>
              <w:bottom w:val="single" w:sz="4" w:space="0" w:color="000000"/>
              <w:right w:val="single" w:sz="4" w:space="0" w:color="000000"/>
            </w:tcBorders>
          </w:tcPr>
          <w:p w14:paraId="3A8366C1"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No Specific </w:t>
            </w:r>
          </w:p>
        </w:tc>
      </w:tr>
      <w:tr w:rsidR="00CD0E94" w:rsidRPr="00CD0E94" w14:paraId="5F069917" w14:textId="77777777" w:rsidTr="00CD0E94">
        <w:trPr>
          <w:trHeight w:val="357"/>
          <w:jc w:val="center"/>
        </w:trPr>
        <w:tc>
          <w:tcPr>
            <w:tcW w:w="1935" w:type="dxa"/>
            <w:vMerge w:val="restart"/>
            <w:tcBorders>
              <w:top w:val="single" w:sz="4" w:space="0" w:color="000000"/>
              <w:left w:val="single" w:sz="4" w:space="0" w:color="000000"/>
              <w:bottom w:val="single" w:sz="4" w:space="0" w:color="000000"/>
              <w:right w:val="single" w:sz="4" w:space="0" w:color="000000"/>
            </w:tcBorders>
          </w:tcPr>
          <w:p w14:paraId="39B90D74"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Vocal Characteristics </w:t>
            </w:r>
          </w:p>
        </w:tc>
        <w:tc>
          <w:tcPr>
            <w:tcW w:w="2130" w:type="dxa"/>
            <w:tcBorders>
              <w:top w:val="single" w:sz="4" w:space="0" w:color="000000"/>
              <w:left w:val="single" w:sz="4" w:space="0" w:color="000000"/>
              <w:bottom w:val="single" w:sz="4" w:space="0" w:color="000000"/>
              <w:right w:val="single" w:sz="4" w:space="0" w:color="000000"/>
            </w:tcBorders>
          </w:tcPr>
          <w:p w14:paraId="0B45DEF4"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Voice quality </w:t>
            </w:r>
          </w:p>
        </w:tc>
        <w:tc>
          <w:tcPr>
            <w:tcW w:w="2338" w:type="dxa"/>
            <w:tcBorders>
              <w:top w:val="single" w:sz="4" w:space="0" w:color="000000"/>
              <w:left w:val="single" w:sz="4" w:space="0" w:color="000000"/>
              <w:bottom w:val="single" w:sz="4" w:space="0" w:color="000000"/>
              <w:right w:val="single" w:sz="4" w:space="0" w:color="000000"/>
            </w:tcBorders>
          </w:tcPr>
          <w:p w14:paraId="1286F8E1"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Host: Harshness </w:t>
            </w:r>
          </w:p>
        </w:tc>
      </w:tr>
      <w:tr w:rsidR="00CD0E94" w:rsidRPr="00CD0E94" w14:paraId="0D46375A" w14:textId="77777777" w:rsidTr="00CD0E94">
        <w:trPr>
          <w:trHeight w:val="356"/>
          <w:jc w:val="center"/>
        </w:trPr>
        <w:tc>
          <w:tcPr>
            <w:tcW w:w="0" w:type="auto"/>
            <w:vMerge/>
            <w:tcBorders>
              <w:top w:val="nil"/>
              <w:left w:val="single" w:sz="4" w:space="0" w:color="000000"/>
              <w:bottom w:val="nil"/>
              <w:right w:val="single" w:sz="4" w:space="0" w:color="000000"/>
            </w:tcBorders>
          </w:tcPr>
          <w:p w14:paraId="1B2C00E4" w14:textId="77777777" w:rsidR="00CD0E94" w:rsidRPr="00CD0E94" w:rsidRDefault="00CD0E94" w:rsidP="00CD0E94">
            <w:pPr>
              <w:spacing w:after="160" w:line="259" w:lineRule="auto"/>
              <w:rPr>
                <w:rFonts w:eastAsia="Calibri" w:cs="Calibri"/>
                <w:color w:val="000000"/>
                <w:szCs w:val="20"/>
              </w:rPr>
            </w:pPr>
          </w:p>
        </w:tc>
        <w:tc>
          <w:tcPr>
            <w:tcW w:w="2130" w:type="dxa"/>
            <w:tcBorders>
              <w:top w:val="single" w:sz="4" w:space="0" w:color="000000"/>
              <w:left w:val="single" w:sz="4" w:space="0" w:color="000000"/>
              <w:bottom w:val="single" w:sz="4" w:space="0" w:color="000000"/>
              <w:right w:val="single" w:sz="4" w:space="0" w:color="000000"/>
            </w:tcBorders>
          </w:tcPr>
          <w:p w14:paraId="022AF623"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Speed Speaking Rate </w:t>
            </w:r>
          </w:p>
        </w:tc>
        <w:tc>
          <w:tcPr>
            <w:tcW w:w="2338" w:type="dxa"/>
            <w:tcBorders>
              <w:top w:val="single" w:sz="4" w:space="0" w:color="000000"/>
              <w:left w:val="single" w:sz="4" w:space="0" w:color="000000"/>
              <w:bottom w:val="single" w:sz="4" w:space="0" w:color="000000"/>
              <w:right w:val="single" w:sz="4" w:space="0" w:color="000000"/>
            </w:tcBorders>
          </w:tcPr>
          <w:p w14:paraId="45313EE2"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115 - 120 words </w:t>
            </w:r>
          </w:p>
        </w:tc>
      </w:tr>
      <w:tr w:rsidR="00CD0E94" w:rsidRPr="00CD0E94" w14:paraId="3572FD3B" w14:textId="77777777" w:rsidTr="00CD0E94">
        <w:trPr>
          <w:trHeight w:val="357"/>
          <w:jc w:val="center"/>
        </w:trPr>
        <w:tc>
          <w:tcPr>
            <w:tcW w:w="0" w:type="auto"/>
            <w:vMerge/>
            <w:tcBorders>
              <w:top w:val="nil"/>
              <w:left w:val="single" w:sz="4" w:space="0" w:color="000000"/>
              <w:bottom w:val="nil"/>
              <w:right w:val="single" w:sz="4" w:space="0" w:color="000000"/>
            </w:tcBorders>
          </w:tcPr>
          <w:p w14:paraId="59C63A9B" w14:textId="77777777" w:rsidR="00CD0E94" w:rsidRPr="00CD0E94" w:rsidRDefault="00CD0E94" w:rsidP="00CD0E94">
            <w:pPr>
              <w:spacing w:after="160" w:line="259" w:lineRule="auto"/>
              <w:rPr>
                <w:rFonts w:eastAsia="Calibri" w:cs="Calibri"/>
                <w:color w:val="000000"/>
                <w:szCs w:val="20"/>
              </w:rPr>
            </w:pPr>
          </w:p>
        </w:tc>
        <w:tc>
          <w:tcPr>
            <w:tcW w:w="2130" w:type="dxa"/>
            <w:tcBorders>
              <w:top w:val="single" w:sz="4" w:space="0" w:color="000000"/>
              <w:left w:val="single" w:sz="4" w:space="0" w:color="000000"/>
              <w:bottom w:val="single" w:sz="4" w:space="0" w:color="000000"/>
              <w:right w:val="single" w:sz="4" w:space="0" w:color="000000"/>
            </w:tcBorders>
          </w:tcPr>
          <w:p w14:paraId="24C32E04"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Power </w:t>
            </w:r>
          </w:p>
        </w:tc>
        <w:tc>
          <w:tcPr>
            <w:tcW w:w="2338" w:type="dxa"/>
            <w:tcBorders>
              <w:top w:val="single" w:sz="4" w:space="0" w:color="000000"/>
              <w:left w:val="single" w:sz="4" w:space="0" w:color="000000"/>
              <w:bottom w:val="single" w:sz="4" w:space="0" w:color="000000"/>
              <w:right w:val="single" w:sz="4" w:space="0" w:color="000000"/>
            </w:tcBorders>
          </w:tcPr>
          <w:p w14:paraId="6EC923E5"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72 - 78 db </w:t>
            </w:r>
          </w:p>
        </w:tc>
      </w:tr>
      <w:tr w:rsidR="00CD0E94" w:rsidRPr="00CD0E94" w14:paraId="6DBA1294" w14:textId="77777777" w:rsidTr="00CD0E94">
        <w:trPr>
          <w:trHeight w:val="356"/>
          <w:jc w:val="center"/>
        </w:trPr>
        <w:tc>
          <w:tcPr>
            <w:tcW w:w="0" w:type="auto"/>
            <w:vMerge/>
            <w:tcBorders>
              <w:top w:val="nil"/>
              <w:left w:val="single" w:sz="4" w:space="0" w:color="000000"/>
              <w:bottom w:val="nil"/>
              <w:right w:val="single" w:sz="4" w:space="0" w:color="000000"/>
            </w:tcBorders>
          </w:tcPr>
          <w:p w14:paraId="17698FC9" w14:textId="77777777" w:rsidR="00CD0E94" w:rsidRPr="00CD0E94" w:rsidRDefault="00CD0E94" w:rsidP="00CD0E94">
            <w:pPr>
              <w:spacing w:after="160" w:line="259" w:lineRule="auto"/>
              <w:rPr>
                <w:rFonts w:eastAsia="Calibri" w:cs="Calibri"/>
                <w:color w:val="000000"/>
                <w:szCs w:val="20"/>
              </w:rPr>
            </w:pPr>
          </w:p>
        </w:tc>
        <w:tc>
          <w:tcPr>
            <w:tcW w:w="2130" w:type="dxa"/>
            <w:tcBorders>
              <w:top w:val="single" w:sz="4" w:space="0" w:color="000000"/>
              <w:left w:val="single" w:sz="4" w:space="0" w:color="000000"/>
              <w:bottom w:val="single" w:sz="4" w:space="0" w:color="000000"/>
              <w:right w:val="single" w:sz="4" w:space="0" w:color="000000"/>
            </w:tcBorders>
          </w:tcPr>
          <w:p w14:paraId="47BDD335"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Pauses </w:t>
            </w:r>
          </w:p>
        </w:tc>
        <w:tc>
          <w:tcPr>
            <w:tcW w:w="2338" w:type="dxa"/>
            <w:tcBorders>
              <w:top w:val="single" w:sz="4" w:space="0" w:color="000000"/>
              <w:left w:val="single" w:sz="4" w:space="0" w:color="000000"/>
              <w:bottom w:val="single" w:sz="4" w:space="0" w:color="000000"/>
              <w:right w:val="single" w:sz="4" w:space="0" w:color="000000"/>
            </w:tcBorders>
          </w:tcPr>
          <w:p w14:paraId="585C7324"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2 – 4 words  </w:t>
            </w:r>
          </w:p>
        </w:tc>
      </w:tr>
      <w:tr w:rsidR="00CD0E94" w:rsidRPr="00CD0E94" w14:paraId="16E947CF" w14:textId="77777777" w:rsidTr="00CD0E94">
        <w:trPr>
          <w:trHeight w:val="357"/>
          <w:jc w:val="center"/>
        </w:trPr>
        <w:tc>
          <w:tcPr>
            <w:tcW w:w="0" w:type="auto"/>
            <w:vMerge/>
            <w:tcBorders>
              <w:top w:val="nil"/>
              <w:left w:val="single" w:sz="4" w:space="0" w:color="000000"/>
              <w:bottom w:val="nil"/>
              <w:right w:val="single" w:sz="4" w:space="0" w:color="000000"/>
            </w:tcBorders>
          </w:tcPr>
          <w:p w14:paraId="1667A431" w14:textId="77777777" w:rsidR="00CD0E94" w:rsidRPr="00CD0E94" w:rsidRDefault="00CD0E94" w:rsidP="00CD0E94">
            <w:pPr>
              <w:spacing w:after="160" w:line="259" w:lineRule="auto"/>
              <w:rPr>
                <w:rFonts w:eastAsia="Calibri" w:cs="Calibri"/>
                <w:color w:val="000000"/>
                <w:szCs w:val="20"/>
              </w:rPr>
            </w:pPr>
          </w:p>
        </w:tc>
        <w:tc>
          <w:tcPr>
            <w:tcW w:w="2130" w:type="dxa"/>
            <w:tcBorders>
              <w:top w:val="single" w:sz="4" w:space="0" w:color="000000"/>
              <w:left w:val="single" w:sz="4" w:space="0" w:color="000000"/>
              <w:bottom w:val="single" w:sz="4" w:space="0" w:color="000000"/>
              <w:right w:val="single" w:sz="4" w:space="0" w:color="000000"/>
            </w:tcBorders>
          </w:tcPr>
          <w:p w14:paraId="211298FC"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Intonation  </w:t>
            </w:r>
          </w:p>
        </w:tc>
        <w:tc>
          <w:tcPr>
            <w:tcW w:w="2338" w:type="dxa"/>
            <w:tcBorders>
              <w:top w:val="single" w:sz="4" w:space="0" w:color="000000"/>
              <w:left w:val="single" w:sz="4" w:space="0" w:color="000000"/>
              <w:bottom w:val="single" w:sz="4" w:space="0" w:color="000000"/>
              <w:right w:val="single" w:sz="4" w:space="0" w:color="000000"/>
            </w:tcBorders>
          </w:tcPr>
          <w:p w14:paraId="6183C354"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Dynamic – hard </w:t>
            </w:r>
          </w:p>
        </w:tc>
      </w:tr>
      <w:tr w:rsidR="00CD0E94" w:rsidRPr="00CD0E94" w14:paraId="79223934" w14:textId="77777777" w:rsidTr="00CD0E94">
        <w:trPr>
          <w:trHeight w:val="356"/>
          <w:jc w:val="center"/>
        </w:trPr>
        <w:tc>
          <w:tcPr>
            <w:tcW w:w="0" w:type="auto"/>
            <w:vMerge/>
            <w:tcBorders>
              <w:top w:val="nil"/>
              <w:left w:val="single" w:sz="4" w:space="0" w:color="000000"/>
              <w:bottom w:val="nil"/>
              <w:right w:val="single" w:sz="4" w:space="0" w:color="000000"/>
            </w:tcBorders>
          </w:tcPr>
          <w:p w14:paraId="0E747EF5" w14:textId="77777777" w:rsidR="00CD0E94" w:rsidRPr="00CD0E94" w:rsidRDefault="00CD0E94" w:rsidP="00CD0E94">
            <w:pPr>
              <w:spacing w:after="160" w:line="259" w:lineRule="auto"/>
              <w:rPr>
                <w:rFonts w:eastAsia="Calibri" w:cs="Calibri"/>
                <w:color w:val="000000"/>
                <w:szCs w:val="20"/>
              </w:rPr>
            </w:pPr>
          </w:p>
        </w:tc>
        <w:tc>
          <w:tcPr>
            <w:tcW w:w="2130" w:type="dxa"/>
            <w:tcBorders>
              <w:top w:val="single" w:sz="4" w:space="0" w:color="000000"/>
              <w:left w:val="single" w:sz="4" w:space="0" w:color="000000"/>
              <w:bottom w:val="single" w:sz="4" w:space="0" w:color="000000"/>
              <w:right w:val="single" w:sz="4" w:space="0" w:color="000000"/>
            </w:tcBorders>
          </w:tcPr>
          <w:p w14:paraId="26373DAB"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Accent </w:t>
            </w:r>
          </w:p>
        </w:tc>
        <w:tc>
          <w:tcPr>
            <w:tcW w:w="2338" w:type="dxa"/>
            <w:tcBorders>
              <w:top w:val="single" w:sz="4" w:space="0" w:color="000000"/>
              <w:left w:val="single" w:sz="4" w:space="0" w:color="000000"/>
              <w:bottom w:val="single" w:sz="4" w:space="0" w:color="000000"/>
              <w:right w:val="single" w:sz="4" w:space="0" w:color="000000"/>
            </w:tcBorders>
          </w:tcPr>
          <w:p w14:paraId="30459998"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Batak </w:t>
            </w:r>
          </w:p>
        </w:tc>
      </w:tr>
      <w:tr w:rsidR="00CD0E94" w:rsidRPr="00CD0E94" w14:paraId="10C5CF98" w14:textId="77777777" w:rsidTr="00CD0E94">
        <w:trPr>
          <w:trHeight w:val="358"/>
          <w:jc w:val="center"/>
        </w:trPr>
        <w:tc>
          <w:tcPr>
            <w:tcW w:w="0" w:type="auto"/>
            <w:vMerge/>
            <w:tcBorders>
              <w:top w:val="nil"/>
              <w:left w:val="single" w:sz="4" w:space="0" w:color="000000"/>
              <w:bottom w:val="nil"/>
              <w:right w:val="single" w:sz="4" w:space="0" w:color="000000"/>
            </w:tcBorders>
          </w:tcPr>
          <w:p w14:paraId="30F969B1" w14:textId="77777777" w:rsidR="00CD0E94" w:rsidRPr="00CD0E94" w:rsidRDefault="00CD0E94" w:rsidP="00CD0E94">
            <w:pPr>
              <w:spacing w:after="160" w:line="259" w:lineRule="auto"/>
              <w:rPr>
                <w:rFonts w:eastAsia="Calibri" w:cs="Calibri"/>
                <w:color w:val="000000"/>
                <w:szCs w:val="20"/>
              </w:rPr>
            </w:pPr>
          </w:p>
        </w:tc>
        <w:tc>
          <w:tcPr>
            <w:tcW w:w="2130" w:type="dxa"/>
            <w:tcBorders>
              <w:top w:val="single" w:sz="4" w:space="0" w:color="000000"/>
              <w:left w:val="single" w:sz="4" w:space="0" w:color="000000"/>
              <w:bottom w:val="single" w:sz="4" w:space="0" w:color="000000"/>
              <w:right w:val="single" w:sz="4" w:space="0" w:color="000000"/>
            </w:tcBorders>
          </w:tcPr>
          <w:p w14:paraId="6B58710F"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Switch Code </w:t>
            </w:r>
          </w:p>
        </w:tc>
        <w:tc>
          <w:tcPr>
            <w:tcW w:w="2338" w:type="dxa"/>
            <w:tcBorders>
              <w:top w:val="single" w:sz="4" w:space="0" w:color="000000"/>
              <w:left w:val="single" w:sz="4" w:space="0" w:color="000000"/>
              <w:bottom w:val="single" w:sz="4" w:space="0" w:color="000000"/>
              <w:right w:val="single" w:sz="4" w:space="0" w:color="000000"/>
            </w:tcBorders>
          </w:tcPr>
          <w:p w14:paraId="3AF62A69"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Batak -Jawa </w:t>
            </w:r>
          </w:p>
        </w:tc>
      </w:tr>
      <w:tr w:rsidR="00CD0E94" w:rsidRPr="00CD0E94" w14:paraId="22E1CE1B" w14:textId="77777777" w:rsidTr="00CD0E94">
        <w:trPr>
          <w:trHeight w:val="356"/>
          <w:jc w:val="center"/>
        </w:trPr>
        <w:tc>
          <w:tcPr>
            <w:tcW w:w="0" w:type="auto"/>
            <w:vMerge/>
            <w:tcBorders>
              <w:top w:val="nil"/>
              <w:left w:val="single" w:sz="4" w:space="0" w:color="000000"/>
              <w:bottom w:val="single" w:sz="4" w:space="0" w:color="000000"/>
              <w:right w:val="single" w:sz="4" w:space="0" w:color="000000"/>
            </w:tcBorders>
          </w:tcPr>
          <w:p w14:paraId="0FB9BEB5" w14:textId="77777777" w:rsidR="00CD0E94" w:rsidRPr="00CD0E94" w:rsidRDefault="00CD0E94" w:rsidP="00CD0E94">
            <w:pPr>
              <w:spacing w:after="160" w:line="259" w:lineRule="auto"/>
              <w:rPr>
                <w:rFonts w:eastAsia="Calibri" w:cs="Calibri"/>
                <w:color w:val="000000"/>
                <w:szCs w:val="20"/>
              </w:rPr>
            </w:pPr>
          </w:p>
        </w:tc>
        <w:tc>
          <w:tcPr>
            <w:tcW w:w="2130" w:type="dxa"/>
            <w:tcBorders>
              <w:top w:val="single" w:sz="4" w:space="0" w:color="000000"/>
              <w:left w:val="single" w:sz="4" w:space="0" w:color="000000"/>
              <w:bottom w:val="single" w:sz="4" w:space="0" w:color="000000"/>
              <w:right w:val="single" w:sz="4" w:space="0" w:color="000000"/>
            </w:tcBorders>
          </w:tcPr>
          <w:p w14:paraId="63D5D9FA"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Frequent words </w:t>
            </w:r>
          </w:p>
        </w:tc>
        <w:tc>
          <w:tcPr>
            <w:tcW w:w="2338" w:type="dxa"/>
            <w:tcBorders>
              <w:top w:val="single" w:sz="4" w:space="0" w:color="000000"/>
              <w:left w:val="single" w:sz="4" w:space="0" w:color="000000"/>
              <w:bottom w:val="single" w:sz="4" w:space="0" w:color="000000"/>
              <w:right w:val="single" w:sz="4" w:space="0" w:color="000000"/>
            </w:tcBorders>
          </w:tcPr>
          <w:p w14:paraId="1E183CD1" w14:textId="77777777" w:rsidR="00CD0E94" w:rsidRPr="00CD0E94" w:rsidRDefault="00CD0E94" w:rsidP="00CD0E94">
            <w:pPr>
              <w:spacing w:line="259" w:lineRule="auto"/>
              <w:rPr>
                <w:rFonts w:eastAsia="Calibri" w:cs="Calibri"/>
                <w:color w:val="000000"/>
                <w:szCs w:val="20"/>
              </w:rPr>
            </w:pPr>
            <w:r w:rsidRPr="00CD0E94">
              <w:rPr>
                <w:rFonts w:eastAsia="Calibri" w:cs="Calibri"/>
                <w:color w:val="000000"/>
                <w:szCs w:val="20"/>
              </w:rPr>
              <w:t xml:space="preserve">Bunda, Mantan, Kode, Paket </w:t>
            </w:r>
          </w:p>
        </w:tc>
      </w:tr>
    </w:tbl>
    <w:p w14:paraId="11DDD048" w14:textId="77777777" w:rsidR="00CD0E94" w:rsidRPr="00BF0EBE" w:rsidRDefault="00CD0E94" w:rsidP="00CD0E94">
      <w:pPr>
        <w:jc w:val="center"/>
        <w:rPr>
          <w:rFonts w:ascii="Calibri" w:eastAsia="Calibri" w:hAnsi="Calibri" w:cs="Calibri"/>
        </w:rPr>
      </w:pPr>
      <w:bookmarkStart w:id="5" w:name="_Hlk152161975"/>
      <w:r w:rsidRPr="00BF0EBE">
        <w:rPr>
          <w:rFonts w:ascii="Calibri" w:eastAsia="Calibri" w:hAnsi="Calibri" w:cs="Calibri"/>
        </w:rPr>
        <w:t>Source: Research Result, 2023</w:t>
      </w:r>
      <w:bookmarkEnd w:id="5"/>
    </w:p>
    <w:p w14:paraId="142BCE71" w14:textId="618921AF" w:rsidR="00CD0E94" w:rsidRDefault="00CD0E94" w:rsidP="00CD0E94">
      <w:pPr>
        <w:jc w:val="both"/>
        <w:rPr>
          <w:rFonts w:ascii="Calibri" w:eastAsia="Calibri" w:hAnsi="Calibri" w:cs="Calibri"/>
          <w:bCs/>
          <w:sz w:val="22"/>
          <w:szCs w:val="22"/>
        </w:rPr>
      </w:pPr>
    </w:p>
    <w:p w14:paraId="64DE1608" w14:textId="7E1382C5" w:rsidR="00CD0E94" w:rsidRDefault="00CD0E94" w:rsidP="00CD0E94">
      <w:pPr>
        <w:ind w:firstLine="720"/>
        <w:jc w:val="both"/>
        <w:rPr>
          <w:rFonts w:ascii="Calibri" w:eastAsia="Calibri" w:hAnsi="Calibri" w:cs="Calibri"/>
          <w:bCs/>
          <w:sz w:val="22"/>
          <w:szCs w:val="22"/>
        </w:rPr>
      </w:pPr>
      <w:r w:rsidRPr="00CD0E94">
        <w:rPr>
          <w:rFonts w:ascii="Calibri" w:eastAsia="Calibri" w:hAnsi="Calibri" w:cs="Calibri"/>
          <w:bCs/>
          <w:sz w:val="22"/>
          <w:szCs w:val="22"/>
        </w:rPr>
        <w:lastRenderedPageBreak/>
        <w:t>Host of Sitituppyreal has distinctive characteristics in its approach. It might be argued that the host has created its own culture as seen by the use of the unique words and phrases during interactions with the customers.</w:t>
      </w:r>
      <w:r>
        <w:rPr>
          <w:rFonts w:ascii="Calibri" w:eastAsia="Calibri" w:hAnsi="Calibri" w:cs="Calibri"/>
          <w:bCs/>
          <w:sz w:val="22"/>
          <w:szCs w:val="22"/>
        </w:rPr>
        <w:t xml:space="preserve"> </w:t>
      </w:r>
      <w:r w:rsidRPr="00CD0E94">
        <w:rPr>
          <w:rFonts w:ascii="Calibri" w:eastAsia="Calibri" w:hAnsi="Calibri" w:cs="Calibri"/>
          <w:bCs/>
          <w:sz w:val="22"/>
          <w:szCs w:val="22"/>
        </w:rPr>
        <w:t xml:space="preserve">Her speech is not overly quick, but her Batak accent, which is identically loud, makes what he says plain and firm. Even though it does not sound mild, the style of greeting customers is quite accepting. Viewers actively engage in the discussion by posing inquiries regarding various items, which are subsequently addressed individually and comprehensively. The repetition word of “Bunda” reveals that host is known the target market. This word also plays as a warm greeting to the customer. The host actually involved in emotive person and task-oriented style. As we know, the task-oriented style focused on sale and its goal. On the other side, the host need to be energetic, passionate, and stimulating. The host of </w:t>
      </w:r>
      <w:r>
        <w:rPr>
          <w:rFonts w:ascii="Calibri" w:eastAsia="Calibri" w:hAnsi="Calibri" w:cs="Calibri"/>
          <w:bCs/>
          <w:sz w:val="22"/>
          <w:szCs w:val="22"/>
        </w:rPr>
        <w:t>S</w:t>
      </w:r>
      <w:r w:rsidRPr="00CD0E94">
        <w:rPr>
          <w:rFonts w:ascii="Calibri" w:eastAsia="Calibri" w:hAnsi="Calibri" w:cs="Calibri"/>
          <w:bCs/>
          <w:sz w:val="22"/>
          <w:szCs w:val="22"/>
        </w:rPr>
        <w:t>itytuppyreal have demonstrated that, despite the fact that the products they sell are used, customer acceptance is high due to their effective communication and ability to interact with consumers. The host is attempting to sell as much as possible, because it is her own business. This is the primary reason of host to adopt this style.</w:t>
      </w:r>
    </w:p>
    <w:p w14:paraId="4D8CC0AB" w14:textId="2BC838C3" w:rsidR="00BF1B17" w:rsidRDefault="00BF1B17" w:rsidP="00BF1B17">
      <w:pPr>
        <w:jc w:val="both"/>
        <w:rPr>
          <w:rFonts w:ascii="Calibri" w:eastAsia="Calibri" w:hAnsi="Calibri" w:cs="Calibri"/>
          <w:bCs/>
          <w:sz w:val="22"/>
          <w:szCs w:val="22"/>
        </w:rPr>
      </w:pPr>
    </w:p>
    <w:p w14:paraId="30F80EC6" w14:textId="77777777" w:rsidR="00BF1B17" w:rsidRPr="00BF1B17" w:rsidRDefault="00BF1B17" w:rsidP="00BF1B17">
      <w:pPr>
        <w:ind w:left="-5" w:hanging="10"/>
        <w:rPr>
          <w:rFonts w:asciiTheme="minorHAnsi" w:hAnsiTheme="minorHAnsi" w:cstheme="minorHAnsi"/>
          <w:sz w:val="22"/>
          <w:szCs w:val="22"/>
        </w:rPr>
      </w:pPr>
      <w:r w:rsidRPr="00BF1B17">
        <w:rPr>
          <w:rFonts w:asciiTheme="minorHAnsi" w:eastAsia="Calibri" w:hAnsiTheme="minorHAnsi" w:cstheme="minorHAnsi"/>
          <w:b/>
          <w:sz w:val="22"/>
          <w:szCs w:val="22"/>
        </w:rPr>
        <w:t xml:space="preserve">RQ2:  What types of variation language that the hosts used in live commerce? </w:t>
      </w:r>
    </w:p>
    <w:p w14:paraId="375B8A29" w14:textId="77777777" w:rsidR="00BF1B17" w:rsidRPr="00BF1B17" w:rsidRDefault="00BF1B17" w:rsidP="00BF1B17">
      <w:pPr>
        <w:ind w:left="-15" w:firstLine="735"/>
        <w:jc w:val="both"/>
        <w:rPr>
          <w:rFonts w:asciiTheme="minorHAnsi" w:hAnsiTheme="minorHAnsi" w:cstheme="minorHAnsi"/>
          <w:sz w:val="22"/>
          <w:szCs w:val="22"/>
        </w:rPr>
      </w:pPr>
      <w:r w:rsidRPr="00BF1B17">
        <w:rPr>
          <w:rFonts w:asciiTheme="minorHAnsi" w:hAnsiTheme="minorHAnsi" w:cstheme="minorHAnsi"/>
          <w:sz w:val="22"/>
          <w:szCs w:val="22"/>
        </w:rPr>
        <w:t xml:space="preserve">TikTok live-streaming commerce exhibits a digital cultural space that contributes to linguistic diversity and even generates new language and meaning. There is also a specific language attached to this feature like: </w:t>
      </w:r>
      <w:r w:rsidRPr="00BF1B17">
        <w:rPr>
          <w:rFonts w:asciiTheme="minorHAnsi" w:eastAsia="Calibri" w:hAnsiTheme="minorHAnsi" w:cstheme="minorHAnsi"/>
          <w:i/>
          <w:sz w:val="22"/>
          <w:szCs w:val="22"/>
        </w:rPr>
        <w:t>spil, etalase, keranjang kuning, cek out, payment</w:t>
      </w:r>
      <w:r w:rsidRPr="00BF1B17">
        <w:rPr>
          <w:rFonts w:asciiTheme="minorHAnsi" w:hAnsiTheme="minorHAnsi" w:cstheme="minorHAnsi"/>
          <w:sz w:val="22"/>
          <w:szCs w:val="22"/>
        </w:rPr>
        <w:t>. These words will certainly always be repeated in conversations between sellers and buyers.</w:t>
      </w:r>
      <w:r w:rsidRPr="00BF1B17">
        <w:rPr>
          <w:rFonts w:asciiTheme="minorHAnsi" w:eastAsia="Calibri" w:hAnsiTheme="minorHAnsi" w:cstheme="minorHAnsi"/>
          <w:i/>
          <w:sz w:val="22"/>
          <w:szCs w:val="22"/>
        </w:rPr>
        <w:t xml:space="preserve"> </w:t>
      </w:r>
      <w:r w:rsidRPr="00BF1B17">
        <w:rPr>
          <w:rFonts w:asciiTheme="minorHAnsi" w:hAnsiTheme="minorHAnsi" w:cstheme="minorHAnsi"/>
          <w:sz w:val="22"/>
          <w:szCs w:val="22"/>
        </w:rPr>
        <w:t xml:space="preserve"> </w:t>
      </w:r>
    </w:p>
    <w:p w14:paraId="4DD024A1" w14:textId="65E3C624" w:rsidR="00BF1B17" w:rsidRDefault="00BF1B17" w:rsidP="00BF1B17">
      <w:pPr>
        <w:ind w:left="-15" w:firstLine="735"/>
        <w:jc w:val="both"/>
        <w:rPr>
          <w:rFonts w:asciiTheme="minorHAnsi" w:hAnsiTheme="minorHAnsi" w:cstheme="minorHAnsi"/>
          <w:sz w:val="22"/>
          <w:szCs w:val="22"/>
        </w:rPr>
      </w:pPr>
      <w:r w:rsidRPr="00BF1B17">
        <w:rPr>
          <w:rFonts w:asciiTheme="minorHAnsi" w:eastAsia="Calibri" w:hAnsiTheme="minorHAnsi" w:cstheme="minorHAnsi"/>
          <w:sz w:val="22"/>
          <w:szCs w:val="22"/>
        </w:rPr>
        <w:t xml:space="preserve">“Spil is based on the English language “spill”, which implies to spill. The goal of spilling here is to convey specific information about a product. Meanwhile, the term of “Etalase” is </w:t>
      </w:r>
      <w:r w:rsidRPr="00BF1B17">
        <w:rPr>
          <w:rFonts w:asciiTheme="minorHAnsi" w:hAnsiTheme="minorHAnsi" w:cstheme="minorHAnsi"/>
          <w:sz w:val="22"/>
          <w:szCs w:val="22"/>
        </w:rPr>
        <w:t xml:space="preserve">defined by the KBBI as a space to display goods for sale, in English we usually called showcase. TikTok usually delivers a series of showcase numbers. Then, Keranjang kuning referred to an icon of yellow basket in the lower left corner. This term is typically used by hosts to encourage their viewers to purchase things in the TiktTok Shop. The last is the term "check out" is derived from the English language. Check out refers to the process of moving shopping items from the marketplace to the payment in TikTok. While </w:t>
      </w:r>
      <w:r w:rsidRPr="00BF1B17">
        <w:rPr>
          <w:rFonts w:asciiTheme="minorHAnsi" w:eastAsia="Calibri" w:hAnsiTheme="minorHAnsi" w:cstheme="minorHAnsi"/>
          <w:sz w:val="22"/>
          <w:szCs w:val="22"/>
        </w:rPr>
        <w:t>“</w:t>
      </w:r>
      <w:r w:rsidRPr="00BF1B17">
        <w:rPr>
          <w:rFonts w:asciiTheme="minorHAnsi" w:hAnsiTheme="minorHAnsi" w:cstheme="minorHAnsi"/>
          <w:sz w:val="22"/>
          <w:szCs w:val="22"/>
        </w:rPr>
        <w:t>payment</w:t>
      </w:r>
      <w:r w:rsidRPr="00BF1B17">
        <w:rPr>
          <w:rFonts w:asciiTheme="minorHAnsi" w:eastAsia="Calibri" w:hAnsiTheme="minorHAnsi" w:cstheme="minorHAnsi"/>
          <w:sz w:val="22"/>
          <w:szCs w:val="22"/>
        </w:rPr>
        <w:t>”</w:t>
      </w:r>
      <w:r w:rsidRPr="00BF1B17">
        <w:rPr>
          <w:rFonts w:asciiTheme="minorHAnsi" w:hAnsiTheme="minorHAnsi" w:cstheme="minorHAnsi"/>
          <w:sz w:val="22"/>
          <w:szCs w:val="22"/>
        </w:rPr>
        <w:t xml:space="preserve"> is equivalent to the English word </w:t>
      </w:r>
      <w:r w:rsidRPr="00BF1B17">
        <w:rPr>
          <w:rFonts w:asciiTheme="minorHAnsi" w:eastAsia="Calibri" w:hAnsiTheme="minorHAnsi" w:cstheme="minorHAnsi"/>
          <w:sz w:val="22"/>
          <w:szCs w:val="22"/>
        </w:rPr>
        <w:t>“</w:t>
      </w:r>
      <w:r w:rsidRPr="00BF1B17">
        <w:rPr>
          <w:rFonts w:asciiTheme="minorHAnsi" w:hAnsiTheme="minorHAnsi" w:cstheme="minorHAnsi"/>
          <w:sz w:val="22"/>
          <w:szCs w:val="22"/>
        </w:rPr>
        <w:t>payment</w:t>
      </w:r>
      <w:r w:rsidRPr="00BF1B17">
        <w:rPr>
          <w:rFonts w:asciiTheme="minorHAnsi" w:eastAsia="Calibri" w:hAnsiTheme="minorHAnsi" w:cstheme="minorHAnsi"/>
          <w:sz w:val="22"/>
          <w:szCs w:val="22"/>
        </w:rPr>
        <w:t>”</w:t>
      </w:r>
      <w:r w:rsidRPr="00BF1B17">
        <w:rPr>
          <w:rFonts w:asciiTheme="minorHAnsi" w:hAnsiTheme="minorHAnsi" w:cstheme="minorHAnsi"/>
          <w:sz w:val="22"/>
          <w:szCs w:val="22"/>
        </w:rPr>
        <w:t xml:space="preserve">. </w:t>
      </w:r>
    </w:p>
    <w:p w14:paraId="4A571CAA" w14:textId="77777777" w:rsidR="00BF1B17" w:rsidRDefault="00BF1B17" w:rsidP="00BF1B17">
      <w:pPr>
        <w:spacing w:after="5" w:line="250" w:lineRule="auto"/>
        <w:ind w:left="-15"/>
        <w:jc w:val="center"/>
        <w:rPr>
          <w:rFonts w:ascii="Calibri" w:eastAsia="Calibri" w:hAnsi="Calibri" w:cs="Calibri"/>
          <w:bCs/>
          <w:color w:val="000000"/>
          <w:szCs w:val="18"/>
          <w:lang w:val="en-ID"/>
        </w:rPr>
      </w:pPr>
    </w:p>
    <w:p w14:paraId="3671B09A" w14:textId="4290DC10" w:rsidR="00BF1B17" w:rsidRPr="00BF1B17" w:rsidRDefault="00BF1B17" w:rsidP="00BF1B17">
      <w:pPr>
        <w:spacing w:after="5" w:line="250" w:lineRule="auto"/>
        <w:ind w:left="-15"/>
        <w:jc w:val="center"/>
        <w:rPr>
          <w:rFonts w:ascii="Calibri" w:eastAsia="Calibri" w:hAnsi="Calibri" w:cs="Calibri"/>
          <w:bCs/>
          <w:color w:val="000000"/>
          <w:szCs w:val="18"/>
          <w:lang w:val="en-ID"/>
        </w:rPr>
      </w:pPr>
      <w:r w:rsidRPr="00BF1B17">
        <w:rPr>
          <w:rFonts w:ascii="Calibri" w:eastAsia="Calibri" w:hAnsi="Calibri" w:cs="Calibri"/>
          <w:bCs/>
          <w:color w:val="000000"/>
          <w:szCs w:val="18"/>
          <w:lang w:val="en-ID"/>
        </w:rPr>
        <w:t>Table 6. The speech event of Aerostreet</w:t>
      </w:r>
      <w:r>
        <w:rPr>
          <w:rFonts w:ascii="Calibri" w:eastAsia="Calibri" w:hAnsi="Calibri" w:cs="Calibri"/>
          <w:bCs/>
          <w:color w:val="000000"/>
          <w:szCs w:val="18"/>
          <w:lang w:val="en-ID"/>
        </w:rPr>
        <w:t xml:space="preserve"> </w:t>
      </w:r>
    </w:p>
    <w:p w14:paraId="3A8B7DEB" w14:textId="502F99EB" w:rsidR="00BF1B17" w:rsidRDefault="00BF1B17" w:rsidP="00BF1B17">
      <w:pPr>
        <w:pBdr>
          <w:top w:val="single" w:sz="4" w:space="1" w:color="auto"/>
          <w:left w:val="single" w:sz="4" w:space="4" w:color="auto"/>
          <w:bottom w:val="single" w:sz="4" w:space="1" w:color="auto"/>
          <w:right w:val="single" w:sz="4" w:space="4" w:color="auto"/>
          <w:between w:val="single" w:sz="4" w:space="1" w:color="auto"/>
          <w:bar w:val="single" w:sz="4" w:color="auto"/>
        </w:pBdr>
        <w:spacing w:after="5" w:line="250" w:lineRule="auto"/>
        <w:ind w:right="-1"/>
        <w:jc w:val="both"/>
        <w:rPr>
          <w:rFonts w:ascii="Calibri" w:eastAsia="Calibri" w:hAnsi="Calibri" w:cs="Calibri"/>
          <w:i/>
          <w:color w:val="000000"/>
          <w:sz w:val="22"/>
          <w:lang w:val="en-ID"/>
        </w:rPr>
      </w:pPr>
      <w:r w:rsidRPr="00BF1B17">
        <w:rPr>
          <w:rFonts w:ascii="Calibri" w:eastAsia="Calibri" w:hAnsi="Calibri" w:cs="Calibri"/>
          <w:color w:val="000000"/>
          <w:sz w:val="22"/>
          <w:lang w:val="en-ID"/>
        </w:rPr>
        <w:t xml:space="preserve">Host (Female): </w:t>
      </w:r>
      <w:r w:rsidRPr="00BF1B17">
        <w:rPr>
          <w:rFonts w:ascii="Calibri" w:eastAsia="Calibri" w:hAnsi="Calibri" w:cs="Calibri"/>
          <w:i/>
          <w:color w:val="000000"/>
          <w:sz w:val="22"/>
          <w:lang w:val="en-ID"/>
        </w:rPr>
        <w:t xml:space="preserve">Untuk Coniver sama T-shirtnya random apa aja boleh/huuh/Coniver di Etalase delapan/Coniver di Etalase delapan/ tambahin satu T-shirt apa aja boleh/ tapi jangan long sleeve/ jangan oversize yah/  jangan long sleeve/ jangan oversize/ yang T-shirt regular aja/ mau tambah Zion boleh/  Mau tambah Corpo boleh/ Mau tambah Golden Samurai boleh/Mau tambahannya Kid Surya juga boleh/ langsung aja di charge/ </w:t>
      </w:r>
      <w:r w:rsidRPr="00BF1B17">
        <w:rPr>
          <w:rFonts w:ascii="Calibri" w:eastAsia="Calibri" w:hAnsi="Calibri" w:cs="Calibri"/>
          <w:b/>
          <w:i/>
          <w:color w:val="000000"/>
          <w:sz w:val="22"/>
          <w:lang w:val="en-ID"/>
        </w:rPr>
        <w:t>di-gas-in aja</w:t>
      </w:r>
      <w:r w:rsidRPr="00BF1B17">
        <w:rPr>
          <w:rFonts w:ascii="Calibri" w:eastAsia="Calibri" w:hAnsi="Calibri" w:cs="Calibri"/>
          <w:i/>
          <w:color w:val="000000"/>
          <w:sz w:val="22"/>
          <w:lang w:val="en-ID"/>
        </w:rPr>
        <w:t xml:space="preserve"> yah/paket bundlingnya ada nih/yah/Kita ada paket bundling yang murah murah/banget yah kakak kakak yah/cepet yah/ Kak Toni minta di Massive lagi </w:t>
      </w:r>
      <w:r w:rsidRPr="00BF1B17">
        <w:rPr>
          <w:rFonts w:ascii="Calibri" w:eastAsia="Calibri" w:hAnsi="Calibri" w:cs="Calibri"/>
          <w:b/>
          <w:i/>
          <w:color w:val="000000"/>
          <w:sz w:val="22"/>
          <w:lang w:val="en-ID"/>
        </w:rPr>
        <w:t>kak sis kyu</w:t>
      </w:r>
      <w:r w:rsidRPr="00BF1B17">
        <w:rPr>
          <w:rFonts w:ascii="Calibri" w:eastAsia="Calibri" w:hAnsi="Calibri" w:cs="Calibri"/>
          <w:i/>
          <w:color w:val="000000"/>
          <w:sz w:val="22"/>
          <w:lang w:val="en-ID"/>
        </w:rPr>
        <w:t xml:space="preserve">/boleh/ Massive etalase enam/yang mau boleh banget yah/ aku spill-in ulang buat kamu/ bahannya canvas cakep banget yah/ warnanya perpaduan warna hitam sama putih aja/ outsolenya kita pasang menggunakan injectional/sudah pasti lentur/ super nyaman aman gak gampang jebol-jebol/langsung di checkout/ langsung di payment/ sekarang juga/ eeeee kalian termasuk gak/kalian harus termasuk donk/ kalian kan warga Indonesia yang baik/ buruan guys ada paket bundling/ beli T-shirt sama sendal dapat harga sembilan puluh satu ribu aja/ kapan lagi lagi kapan lagi-lagi/ yuuuk buruan/ paymentnya sekarang drop aja/ ya/ boleh//   </w:t>
      </w:r>
    </w:p>
    <w:p w14:paraId="4D309CB2" w14:textId="37186329" w:rsidR="00BF1B17" w:rsidRPr="00BF1B17" w:rsidRDefault="00BF1B17" w:rsidP="00BF1B17">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jc w:val="both"/>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Host (Male): </w:t>
      </w:r>
      <w:r w:rsidRPr="00BF1B17">
        <w:rPr>
          <w:rFonts w:ascii="Calibri" w:eastAsia="Calibri" w:hAnsi="Calibri" w:cs="Calibri"/>
          <w:i/>
          <w:color w:val="000000"/>
          <w:sz w:val="22"/>
          <w:lang w:val="en-ID"/>
        </w:rPr>
        <w:t>Cek ketuk diskonnya dan etalase atau di keranjang kuning kita/ bukan/ ke spill deh amanin size kamu/ke spill deh amanin/ buat ke spill/ buat kak manggul/</w:t>
      </w:r>
      <w:r w:rsidRPr="00BF1B17">
        <w:rPr>
          <w:rFonts w:ascii="Calibri" w:eastAsia="Calibri" w:hAnsi="Calibri" w:cs="Calibri"/>
          <w:b/>
          <w:i/>
          <w:color w:val="000000"/>
          <w:sz w:val="22"/>
          <w:lang w:val="en-ID"/>
        </w:rPr>
        <w:t>basane ngomong jowo</w:t>
      </w:r>
      <w:r w:rsidRPr="00BF1B17">
        <w:rPr>
          <w:rFonts w:ascii="Calibri" w:eastAsia="Calibri" w:hAnsi="Calibri" w:cs="Calibri"/>
          <w:i/>
          <w:color w:val="000000"/>
          <w:sz w:val="22"/>
          <w:lang w:val="en-ID"/>
        </w:rPr>
        <w:t>/ satu juta/ boleh/  Etalase dua puluh satu/kita ada Osaka yang full putih nih/Boleh/Osaka full putih deh kak/kamu/ boleh/Osa buat kak Mawar/pakai Osaka full putih boleh banget/ pakai di Osaka full putihnya kita/ bukan/ gimana kamu gak rabaraba dulu/Osaka full putih boleh banget/ pakai Osaka full putih/</w:t>
      </w:r>
      <w:r w:rsidRPr="00BF1B17">
        <w:rPr>
          <w:rFonts w:ascii="Calibri" w:eastAsia="Calibri" w:hAnsi="Calibri" w:cs="Calibri"/>
          <w:b/>
          <w:i/>
          <w:color w:val="000000"/>
          <w:sz w:val="22"/>
          <w:lang w:val="en-ID"/>
        </w:rPr>
        <w:t>Cam on</w:t>
      </w:r>
      <w:r w:rsidRPr="00BF1B17">
        <w:rPr>
          <w:rFonts w:ascii="Calibri" w:eastAsia="Calibri" w:hAnsi="Calibri" w:cs="Calibri"/>
          <w:i/>
          <w:color w:val="000000"/>
          <w:sz w:val="22"/>
          <w:lang w:val="en-ID"/>
        </w:rPr>
        <w:t xml:space="preserve">/ buat kamu yang mau CO/mau jalan jalan santai/boleh banget pakai Osaka ini/Dia </w:t>
      </w:r>
      <w:r w:rsidRPr="00BF1B17">
        <w:rPr>
          <w:rFonts w:ascii="Calibri" w:eastAsia="Calibri" w:hAnsi="Calibri" w:cs="Calibri"/>
          <w:i/>
          <w:color w:val="000000"/>
          <w:sz w:val="22"/>
          <w:lang w:val="en-ID"/>
        </w:rPr>
        <w:lastRenderedPageBreak/>
        <w:t xml:space="preserve">itu bahannya mas kulit sintetis/oh  gak/dia udah pakai soft #-#&amp;_%@ /cepet amanin size kamu sebelum size kamu kehabisan/check out and payment sekarang juga/buat kak mahmud buruan/ kak/ buruan hoodienya sudah habis/ sisanya jogger Panjang/sisanya jogger panjang/jogger/ jogger Panjang// </w:t>
      </w:r>
    </w:p>
    <w:p w14:paraId="1A9B9009" w14:textId="77777777" w:rsidR="00BF1B17" w:rsidRPr="00BF1B17" w:rsidRDefault="00BF1B17" w:rsidP="00BF1B17">
      <w:pPr>
        <w:spacing w:line="259" w:lineRule="auto"/>
        <w:jc w:val="center"/>
        <w:rPr>
          <w:rFonts w:ascii="Calibri" w:eastAsia="Calibri" w:hAnsi="Calibri" w:cs="Calibri"/>
          <w:color w:val="000000"/>
          <w:sz w:val="22"/>
          <w:lang w:val="en-ID"/>
        </w:rPr>
      </w:pPr>
      <w:bookmarkStart w:id="6" w:name="_Hlk152162360"/>
      <w:r w:rsidRPr="00BF1B17">
        <w:rPr>
          <w:rFonts w:ascii="Calibri" w:eastAsia="Calibri" w:hAnsi="Calibri" w:cs="Calibri"/>
          <w:i/>
          <w:color w:val="000000"/>
          <w:sz w:val="22"/>
          <w:lang w:val="en-ID"/>
        </w:rPr>
        <w:t xml:space="preserve"> </w:t>
      </w:r>
      <w:r w:rsidRPr="00BF1B17">
        <w:rPr>
          <w:rFonts w:ascii="Calibri" w:eastAsia="Calibri" w:hAnsi="Calibri" w:cs="Calibri"/>
          <w:color w:val="000000"/>
          <w:szCs w:val="18"/>
          <w:lang w:val="en-ID"/>
        </w:rPr>
        <w:t>Source: Research Result, 2023</w:t>
      </w:r>
      <w:bookmarkEnd w:id="6"/>
    </w:p>
    <w:p w14:paraId="6B1F7BF1" w14:textId="77777777" w:rsidR="00E367DD" w:rsidRDefault="00E367DD" w:rsidP="00BF1B17">
      <w:pPr>
        <w:spacing w:after="5" w:line="250" w:lineRule="auto"/>
        <w:ind w:left="-15" w:firstLine="710"/>
        <w:jc w:val="both"/>
        <w:rPr>
          <w:rFonts w:ascii="Calibri" w:eastAsia="Calibri" w:hAnsi="Calibri" w:cs="Calibri"/>
          <w:color w:val="000000"/>
          <w:sz w:val="22"/>
          <w:lang w:val="en-ID"/>
        </w:rPr>
      </w:pPr>
    </w:p>
    <w:p w14:paraId="5010C721" w14:textId="2DB746AF" w:rsidR="00BF1B17" w:rsidRPr="00BF1B17" w:rsidRDefault="00BF1B17" w:rsidP="00BF1B17">
      <w:pPr>
        <w:spacing w:after="5" w:line="250" w:lineRule="auto"/>
        <w:ind w:left="-15" w:firstLine="710"/>
        <w:jc w:val="both"/>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The female host of Aerostreet also presents her products in Indonesian, but her Javanese dialect is quite strong. In contrast, the female hosts employ a more diverse linguistic repertoire by using slang terms such as "di-gas-in" and "sis kyu." Language changes in the form of sociolect when employing the term "di-gas-in." It is noteworthy that the term "gas" does not denote its literal meaning but refers to pull the gas or step on the gas. Consequently, "di-gas-in" has a new meaning “hurry up”, signifying a sense of urgency or hastening. While the term "kak sis kyu" functions as an abbreviated form of the words "brother," "sister," and "me." According to the Kamus Besar Bahasa Indonesia (KBBI), the term "kak" is used as a form of address to someone who is older in age. Another one is "sis" derived from the English word "sister" and can apply to either an older sister or a younger sister. Meanwhile “kyu" serves as a colloquial expression, slang of “aku” which means me. Therefore, the sentence of “kak sis kyu” refers to my brother and sister. </w:t>
      </w:r>
    </w:p>
    <w:p w14:paraId="6B69A801" w14:textId="24A1D716" w:rsidR="00BF1B17" w:rsidRPr="00BF1B17" w:rsidRDefault="00BF1B17" w:rsidP="00BF1B17">
      <w:pPr>
        <w:spacing w:after="5" w:line="250" w:lineRule="auto"/>
        <w:ind w:left="-15" w:firstLine="710"/>
        <w:jc w:val="both"/>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The male host from Aerostreet employs Indonesian language in his commercial presentations but with a variety of casual languages. Furthermore, his speech has a Javanese accent, which may be characterized as a prominent Javanese dialect. This linguistic feature is attributed to the geographical context of the host's location in Yogyakarta. During the discussion, host made code-switching, shifted from Indonesian to Javanese. When called the customer, Manggul, they expressed the phrase </w:t>
      </w:r>
      <w:r w:rsidRPr="00BF1B17">
        <w:rPr>
          <w:rFonts w:ascii="Calibri" w:eastAsia="Calibri" w:hAnsi="Calibri" w:cs="Calibri"/>
          <w:i/>
          <w:color w:val="000000"/>
          <w:sz w:val="22"/>
          <w:lang w:val="en-ID"/>
        </w:rPr>
        <w:t>'basane omong jowo'</w:t>
      </w:r>
      <w:r w:rsidRPr="00BF1B17">
        <w:rPr>
          <w:rFonts w:ascii="Calibri" w:eastAsia="Calibri" w:hAnsi="Calibri" w:cs="Calibri"/>
          <w:color w:val="000000"/>
          <w:sz w:val="22"/>
          <w:lang w:val="en-ID"/>
        </w:rPr>
        <w:t xml:space="preserve">, which can be interpreted as </w:t>
      </w:r>
      <w:r w:rsidRPr="00BF1B17">
        <w:rPr>
          <w:rFonts w:ascii="Calibri" w:eastAsia="Calibri" w:hAnsi="Calibri" w:cs="Calibri"/>
          <w:i/>
          <w:color w:val="000000"/>
          <w:sz w:val="22"/>
          <w:lang w:val="en-ID"/>
        </w:rPr>
        <w:t xml:space="preserve">"bahasanya begitu", </w:t>
      </w:r>
      <w:r w:rsidRPr="00BF1B17">
        <w:rPr>
          <w:rFonts w:ascii="Calibri" w:eastAsia="Calibri" w:hAnsi="Calibri" w:cs="Calibri"/>
          <w:color w:val="000000"/>
          <w:sz w:val="22"/>
          <w:lang w:val="en-ID"/>
        </w:rPr>
        <w:t xml:space="preserve">"his language is like that". Code switching refers to the act of intentionally choosing or modifying linguistic components in order to adapt speech to a specific social or cultural environment during an interaction (Nilep, 2006). </w:t>
      </w:r>
    </w:p>
    <w:p w14:paraId="0C76FCE2" w14:textId="3D11170B" w:rsidR="00BF1B17" w:rsidRPr="00BF1B17" w:rsidRDefault="00BF1B17" w:rsidP="00BF1B17">
      <w:pPr>
        <w:spacing w:line="259" w:lineRule="auto"/>
        <w:jc w:val="both"/>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 </w:t>
      </w:r>
      <w:r>
        <w:rPr>
          <w:rFonts w:ascii="Calibri" w:eastAsia="Calibri" w:hAnsi="Calibri" w:cs="Calibri"/>
          <w:color w:val="000000"/>
          <w:sz w:val="22"/>
          <w:lang w:val="en-ID"/>
        </w:rPr>
        <w:tab/>
      </w:r>
      <w:r w:rsidRPr="00BF1B17">
        <w:rPr>
          <w:rFonts w:ascii="Calibri" w:eastAsia="Calibri" w:hAnsi="Calibri" w:cs="Calibri"/>
          <w:color w:val="000000"/>
          <w:sz w:val="22"/>
          <w:lang w:val="en-ID"/>
        </w:rPr>
        <w:t xml:space="preserve">Additionally, there exists variety language in the form of sociolect when expressing "cam on," which can be translated to "Come On" in English which means hurry up. This phrase conveys a sense of urging or prompting someone to be quick. The term "cam on" originated from English and has been a form of slang commonly used among sellers and purchasers who are in the same age. Sociolect refers (Dvorak, 2018; Louwerse, 2004) to a specific linguistic variety that is specifically designed for a particular social group. The language in question has evolved from the national language, but its structure is influenced by several factors such as geographical, social, and biopsychological elements, including professional considerations. Sociolects do not encompass comprehensive systems of communication. The primary manifestation of a sociolect is observed through the lexical and grammatical structures of the respective national language. However, its distinctiveness is conveyed by the particular speech patterns employed by a specific group that employs this sociolect (Dvorak, 2018). </w:t>
      </w:r>
    </w:p>
    <w:p w14:paraId="31052D37" w14:textId="01D9E340" w:rsidR="00BF1B17" w:rsidRPr="00BF1B17" w:rsidRDefault="00BF1B17" w:rsidP="00BF1B17">
      <w:pPr>
        <w:spacing w:after="5" w:line="250" w:lineRule="auto"/>
        <w:ind w:left="-15"/>
        <w:jc w:val="center"/>
        <w:rPr>
          <w:rFonts w:ascii="Calibri" w:eastAsia="Calibri" w:hAnsi="Calibri" w:cs="Calibri"/>
          <w:bCs/>
          <w:color w:val="000000"/>
          <w:szCs w:val="18"/>
          <w:lang w:val="en-ID"/>
        </w:rPr>
      </w:pPr>
      <w:bookmarkStart w:id="7" w:name="_Hlk152162312"/>
      <w:r w:rsidRPr="00BF1B17">
        <w:rPr>
          <w:rFonts w:ascii="Calibri" w:eastAsia="Calibri" w:hAnsi="Calibri" w:cs="Calibri"/>
          <w:bCs/>
          <w:color w:val="000000"/>
          <w:szCs w:val="18"/>
          <w:lang w:val="en-ID"/>
        </w:rPr>
        <w:t xml:space="preserve">Table </w:t>
      </w:r>
      <w:r w:rsidR="00E367DD">
        <w:rPr>
          <w:rFonts w:ascii="Calibri" w:eastAsia="Calibri" w:hAnsi="Calibri" w:cs="Calibri"/>
          <w:bCs/>
          <w:color w:val="000000"/>
          <w:szCs w:val="18"/>
          <w:lang w:val="en-ID"/>
        </w:rPr>
        <w:t>7</w:t>
      </w:r>
      <w:r w:rsidRPr="00BF1B17">
        <w:rPr>
          <w:rFonts w:ascii="Calibri" w:eastAsia="Calibri" w:hAnsi="Calibri" w:cs="Calibri"/>
          <w:bCs/>
          <w:color w:val="000000"/>
          <w:szCs w:val="18"/>
          <w:lang w:val="en-ID"/>
        </w:rPr>
        <w:t>. The speech event of Muslim Limited</w:t>
      </w:r>
    </w:p>
    <w:bookmarkEnd w:id="7"/>
    <w:p w14:paraId="7183E842" w14:textId="621E3928" w:rsidR="00BF1B17" w:rsidRPr="00BF1B17" w:rsidRDefault="00BF1B17" w:rsidP="00E367DD">
      <w:pPr>
        <w:pBdr>
          <w:top w:val="single" w:sz="4" w:space="1" w:color="auto"/>
          <w:left w:val="single" w:sz="4" w:space="4" w:color="auto"/>
          <w:bottom w:val="single" w:sz="4" w:space="1" w:color="auto"/>
          <w:right w:val="single" w:sz="4" w:space="4" w:color="auto"/>
        </w:pBdr>
        <w:spacing w:line="259" w:lineRule="auto"/>
        <w:jc w:val="both"/>
        <w:rPr>
          <w:rFonts w:ascii="Calibri" w:eastAsia="Calibri" w:hAnsi="Calibri" w:cs="Calibri"/>
          <w:color w:val="000000"/>
          <w:sz w:val="22"/>
          <w:lang w:val="en-ID"/>
        </w:rPr>
      </w:pPr>
      <w:r w:rsidRPr="00BF1B17">
        <w:rPr>
          <w:rFonts w:ascii="Calibri" w:eastAsia="Calibri" w:hAnsi="Calibri" w:cs="Calibri"/>
          <w:i/>
          <w:color w:val="000000"/>
          <w:sz w:val="22"/>
          <w:lang w:val="en-ID"/>
        </w:rPr>
        <w:t xml:space="preserve">Estimasinya Palu Sulawesi datang berapa hari kak?/ eee </w:t>
      </w:r>
      <w:r w:rsidRPr="00BF1B17">
        <w:rPr>
          <w:rFonts w:ascii="Calibri" w:eastAsia="Calibri" w:hAnsi="Calibri" w:cs="Calibri"/>
          <w:b/>
          <w:i/>
          <w:color w:val="000000"/>
          <w:sz w:val="22"/>
          <w:lang w:val="en-ID"/>
        </w:rPr>
        <w:t>Insyaallah</w:t>
      </w:r>
      <w:r w:rsidRPr="00BF1B17">
        <w:rPr>
          <w:rFonts w:ascii="Calibri" w:eastAsia="Calibri" w:hAnsi="Calibri" w:cs="Calibri"/>
          <w:i/>
          <w:color w:val="000000"/>
          <w:sz w:val="22"/>
          <w:lang w:val="en-ID"/>
        </w:rPr>
        <w:t xml:space="preserve"> kakak/ tiga empat harian sudah sampai/ yah/ tiga empat harian insyaallah sampai/ jadi kalau misalnya kakak cek out nih besok jadi/ insyaallah itu </w:t>
      </w:r>
      <w:r w:rsidRPr="00BF1B17">
        <w:rPr>
          <w:rFonts w:ascii="Calibri" w:eastAsia="Calibri" w:hAnsi="Calibri" w:cs="Calibri"/>
          <w:b/>
          <w:i/>
          <w:color w:val="000000"/>
          <w:sz w:val="22"/>
          <w:lang w:val="en-ID"/>
        </w:rPr>
        <w:t>inysallah</w:t>
      </w:r>
      <w:r w:rsidRPr="00BF1B17">
        <w:rPr>
          <w:rFonts w:ascii="Calibri" w:eastAsia="Calibri" w:hAnsi="Calibri" w:cs="Calibri"/>
          <w:i/>
          <w:color w:val="000000"/>
          <w:sz w:val="22"/>
          <w:lang w:val="en-ID"/>
        </w:rPr>
        <w:t xml:space="preserve"> antara kamis atau jumat itu udah sampai yah/eh kamis/ antara jumat sori/ antara hari jumat atau minggu sampai kak/ kita pengiriman dari bandung jawa barat/ dan  </w:t>
      </w:r>
      <w:r w:rsidRPr="00BF1B17">
        <w:rPr>
          <w:rFonts w:ascii="Calibri" w:eastAsia="Calibri" w:hAnsi="Calibri" w:cs="Calibri"/>
          <w:b/>
          <w:i/>
          <w:color w:val="000000"/>
          <w:sz w:val="22"/>
          <w:lang w:val="en-ID"/>
        </w:rPr>
        <w:t>insyaallah</w:t>
      </w:r>
      <w:r w:rsidRPr="00BF1B17">
        <w:rPr>
          <w:rFonts w:ascii="Calibri" w:eastAsia="Calibri" w:hAnsi="Calibri" w:cs="Calibri"/>
          <w:i/>
          <w:color w:val="000000"/>
          <w:sz w:val="22"/>
          <w:lang w:val="en-ID"/>
        </w:rPr>
        <w:t xml:space="preserve">nya bisa antar berkas ke seluruh Indonesia/ ekspedisi yang kita pakai JNE Express/ jadi kakak kalau misalnya di Palu Sulawesi Tengah/ itu </w:t>
      </w:r>
      <w:r w:rsidRPr="00BF1B17">
        <w:rPr>
          <w:rFonts w:ascii="Calibri" w:eastAsia="Calibri" w:hAnsi="Calibri" w:cs="Calibri"/>
          <w:b/>
          <w:i/>
          <w:color w:val="000000"/>
          <w:sz w:val="22"/>
          <w:lang w:val="en-ID"/>
        </w:rPr>
        <w:t>insyaallah</w:t>
      </w:r>
      <w:r w:rsidRPr="00BF1B17">
        <w:rPr>
          <w:rFonts w:ascii="Calibri" w:eastAsia="Calibri" w:hAnsi="Calibri" w:cs="Calibri"/>
          <w:i/>
          <w:color w:val="000000"/>
          <w:sz w:val="22"/>
          <w:lang w:val="en-ID"/>
        </w:rPr>
        <w:t xml:space="preserve"> tiga empat harian sampai yah/ Jadi kalau misalnya kakak pesannya besok/ eee itu antara hari jumat atau sabtu udah sampai yah/ tapi kalau </w:t>
      </w:r>
      <w:r w:rsidRPr="00BF1B17">
        <w:rPr>
          <w:rFonts w:ascii="Calibri" w:eastAsia="Calibri" w:hAnsi="Calibri" w:cs="Calibri"/>
          <w:i/>
          <w:color w:val="000000"/>
          <w:sz w:val="22"/>
          <w:lang w:val="en-ID"/>
        </w:rPr>
        <w:lastRenderedPageBreak/>
        <w:t>paling cepet sih Jumat atau gak kamis yah/ siapa tau kakak Kamis sudah sampai/ tapi kalau estimasi yah buat nomornya/ antara hari jumat atau sabtu yah/</w:t>
      </w:r>
      <w:r w:rsidRPr="00BF1B17">
        <w:rPr>
          <w:rFonts w:ascii="Calibri" w:eastAsia="Calibri" w:hAnsi="Calibri" w:cs="Calibri"/>
          <w:b/>
          <w:i/>
          <w:color w:val="000000"/>
          <w:sz w:val="22"/>
          <w:lang w:val="en-ID"/>
        </w:rPr>
        <w:t>gaskeun</w:t>
      </w:r>
      <w:r w:rsidRPr="00BF1B17">
        <w:rPr>
          <w:rFonts w:ascii="Calibri" w:eastAsia="Calibri" w:hAnsi="Calibri" w:cs="Calibri"/>
          <w:i/>
          <w:color w:val="000000"/>
          <w:sz w:val="22"/>
          <w:lang w:val="en-ID"/>
        </w:rPr>
        <w:t xml:space="preserve">// </w:t>
      </w:r>
    </w:p>
    <w:p w14:paraId="6C7216E6" w14:textId="06D3C75C" w:rsidR="00BF1B17" w:rsidRPr="00BF1B17" w:rsidRDefault="00E367DD" w:rsidP="00E367DD">
      <w:pPr>
        <w:spacing w:line="259" w:lineRule="auto"/>
        <w:jc w:val="center"/>
        <w:rPr>
          <w:rFonts w:ascii="Calibri" w:eastAsia="Calibri" w:hAnsi="Calibri" w:cs="Calibri"/>
          <w:color w:val="000000"/>
          <w:sz w:val="22"/>
          <w:lang w:val="en-ID"/>
        </w:rPr>
      </w:pPr>
      <w:r w:rsidRPr="00BF1B17">
        <w:rPr>
          <w:rFonts w:ascii="Calibri" w:eastAsia="Calibri" w:hAnsi="Calibri" w:cs="Calibri"/>
          <w:color w:val="000000"/>
          <w:szCs w:val="18"/>
          <w:lang w:val="en-ID"/>
        </w:rPr>
        <w:t>Source: Research Result, 2023</w:t>
      </w:r>
    </w:p>
    <w:p w14:paraId="1309617A" w14:textId="77777777" w:rsidR="00E367DD" w:rsidRDefault="00E367DD" w:rsidP="00BF1B17">
      <w:pPr>
        <w:spacing w:after="5" w:line="250" w:lineRule="auto"/>
        <w:ind w:left="-15" w:firstLine="710"/>
        <w:jc w:val="both"/>
        <w:rPr>
          <w:rFonts w:ascii="Calibri" w:eastAsia="Calibri" w:hAnsi="Calibri" w:cs="Calibri"/>
          <w:color w:val="000000"/>
          <w:sz w:val="22"/>
          <w:lang w:val="en-ID"/>
        </w:rPr>
      </w:pPr>
    </w:p>
    <w:p w14:paraId="4C4E99FD" w14:textId="77777777" w:rsidR="00BF1B17" w:rsidRPr="00BF1B17" w:rsidRDefault="00BF1B17" w:rsidP="00BF1B17">
      <w:pPr>
        <w:spacing w:after="5" w:line="250" w:lineRule="auto"/>
        <w:ind w:left="-15" w:firstLine="710"/>
        <w:jc w:val="both"/>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The host repeated the phrase of "Insha Allah" four times. This phrase refers to someone’s vow. This term is a sociolect of the religion, as it has been adopted by Indonesian Muslims in daily use. While "gaskeun" is a slang term indicating that the host employs informal language to facilitate communication with buyers, "gas" is the same term used by Aerostreet hosts to mean "quickly" or "soon." Meanwhile, the Sundanese affix "keun" is used to emphasize something with the same meaning as “kan”. This also indicates that the individual employs Sundanese dialect with casual style. </w:t>
      </w:r>
    </w:p>
    <w:p w14:paraId="7E7658BF" w14:textId="77777777" w:rsidR="00BF1B17" w:rsidRPr="00BF1B17" w:rsidRDefault="00BF1B17" w:rsidP="00BF1B17">
      <w:pPr>
        <w:spacing w:line="259" w:lineRule="auto"/>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 </w:t>
      </w:r>
    </w:p>
    <w:p w14:paraId="3F986BBE" w14:textId="6C752A6F" w:rsidR="00E367DD" w:rsidRPr="00E367DD" w:rsidRDefault="00E367DD" w:rsidP="00E367DD">
      <w:pPr>
        <w:spacing w:line="259" w:lineRule="auto"/>
        <w:jc w:val="center"/>
        <w:rPr>
          <w:rFonts w:ascii="Calibri" w:eastAsia="Calibri" w:hAnsi="Calibri" w:cs="Calibri"/>
          <w:color w:val="000000"/>
          <w:szCs w:val="18"/>
          <w:lang w:val="en-ID"/>
        </w:rPr>
      </w:pPr>
      <w:bookmarkStart w:id="8" w:name="_Hlk152162521"/>
      <w:r w:rsidRPr="00E367DD">
        <w:rPr>
          <w:rFonts w:ascii="Calibri" w:eastAsia="Calibri" w:hAnsi="Calibri" w:cs="Calibri"/>
          <w:color w:val="000000"/>
          <w:szCs w:val="18"/>
          <w:lang w:val="en-ID"/>
        </w:rPr>
        <w:t xml:space="preserve">Table </w:t>
      </w:r>
      <w:r>
        <w:rPr>
          <w:rFonts w:ascii="Calibri" w:eastAsia="Calibri" w:hAnsi="Calibri" w:cs="Calibri"/>
          <w:color w:val="000000"/>
          <w:szCs w:val="18"/>
          <w:lang w:val="en-ID"/>
        </w:rPr>
        <w:t>8</w:t>
      </w:r>
      <w:r w:rsidRPr="00E367DD">
        <w:rPr>
          <w:rFonts w:ascii="Calibri" w:eastAsia="Calibri" w:hAnsi="Calibri" w:cs="Calibri"/>
          <w:color w:val="000000"/>
          <w:szCs w:val="18"/>
          <w:lang w:val="en-ID"/>
        </w:rPr>
        <w:t>. The speech event of Muslim Limited</w:t>
      </w:r>
    </w:p>
    <w:bookmarkEnd w:id="8"/>
    <w:p w14:paraId="6A18B717" w14:textId="6F17206F" w:rsidR="00BF1B17" w:rsidRPr="00BF1B17" w:rsidRDefault="00BF1B17" w:rsidP="00E367DD">
      <w:pPr>
        <w:pBdr>
          <w:top w:val="single" w:sz="4" w:space="1" w:color="auto"/>
          <w:left w:val="single" w:sz="4" w:space="4" w:color="auto"/>
          <w:bottom w:val="single" w:sz="4" w:space="1" w:color="auto"/>
          <w:right w:val="single" w:sz="4" w:space="4" w:color="auto"/>
        </w:pBdr>
        <w:spacing w:line="259" w:lineRule="auto"/>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 </w:t>
      </w:r>
      <w:r w:rsidRPr="00BF1B17">
        <w:rPr>
          <w:rFonts w:ascii="Calibri" w:eastAsia="Calibri" w:hAnsi="Calibri" w:cs="Calibri"/>
          <w:i/>
          <w:color w:val="000000"/>
          <w:sz w:val="22"/>
          <w:lang w:val="en-ID"/>
        </w:rPr>
        <w:t xml:space="preserve">Bunda Haya/ Bunda haya/ tadi Rice Cookernya boleh aja di payment/ kan masih belum jelas/ </w:t>
      </w:r>
      <w:r w:rsidRPr="00BF1B17">
        <w:rPr>
          <w:rFonts w:ascii="Calibri" w:eastAsia="Calibri" w:hAnsi="Calibri" w:cs="Calibri"/>
          <w:b/>
          <w:i/>
          <w:color w:val="000000"/>
          <w:sz w:val="22"/>
          <w:lang w:val="en-ID"/>
        </w:rPr>
        <w:t>boleh kakak tanyain lagi sama kita yah/bener langsung ditanyain/komen-komen kita masih terbuka yah/ betul</w:t>
      </w:r>
      <w:r w:rsidRPr="00BF1B17">
        <w:rPr>
          <w:rFonts w:ascii="Calibri" w:eastAsia="Calibri" w:hAnsi="Calibri" w:cs="Calibri"/>
          <w:i/>
          <w:color w:val="000000"/>
          <w:sz w:val="22"/>
          <w:lang w:val="en-ID"/>
        </w:rPr>
        <w:t xml:space="preserve">/kita masih terbuka lebar buat kalian yah/kita bantu jelasin sebisa mungkin/ gitu loh/ sejujur-jujurnya/sampai betul/ sampai kakak tuh </w:t>
      </w:r>
      <w:r w:rsidRPr="00BF1B17">
        <w:rPr>
          <w:rFonts w:ascii="Calibri" w:eastAsia="Calibri" w:hAnsi="Calibri" w:cs="Calibri"/>
          <w:b/>
          <w:i/>
          <w:color w:val="000000"/>
          <w:sz w:val="22"/>
          <w:lang w:val="en-ID"/>
        </w:rPr>
        <w:t>ngerti</w:t>
      </w:r>
      <w:r w:rsidRPr="00BF1B17">
        <w:rPr>
          <w:rFonts w:ascii="Calibri" w:eastAsia="Calibri" w:hAnsi="Calibri" w:cs="Calibri"/>
          <w:i/>
          <w:color w:val="000000"/>
          <w:sz w:val="22"/>
          <w:lang w:val="en-ID"/>
        </w:rPr>
        <w:t xml:space="preserve"> loh/ sampai rumah </w:t>
      </w:r>
      <w:r w:rsidRPr="00BF1B17">
        <w:rPr>
          <w:rFonts w:ascii="Calibri" w:eastAsia="Calibri" w:hAnsi="Calibri" w:cs="Calibri"/>
          <w:b/>
          <w:i/>
          <w:color w:val="000000"/>
          <w:sz w:val="22"/>
          <w:lang w:val="en-ID"/>
        </w:rPr>
        <w:t>gak planga-plongo</w:t>
      </w:r>
      <w:r w:rsidRPr="00BF1B17">
        <w:rPr>
          <w:rFonts w:ascii="Calibri" w:eastAsia="Calibri" w:hAnsi="Calibri" w:cs="Calibri"/>
          <w:i/>
          <w:color w:val="000000"/>
          <w:sz w:val="22"/>
          <w:lang w:val="en-ID"/>
        </w:rPr>
        <w:t xml:space="preserve"> lagi/ barangnya udah datang/ udah deh/ langsung reading kita/ eee apa/ langsung/ eksekusi </w:t>
      </w:r>
      <w:r w:rsidRPr="00BF1B17">
        <w:rPr>
          <w:rFonts w:ascii="Calibri" w:eastAsia="Calibri" w:hAnsi="Calibri" w:cs="Calibri"/>
          <w:b/>
          <w:i/>
          <w:color w:val="000000"/>
          <w:sz w:val="22"/>
          <w:lang w:val="en-ID"/>
        </w:rPr>
        <w:t>gitu</w:t>
      </w:r>
      <w:r w:rsidRPr="00BF1B17">
        <w:rPr>
          <w:rFonts w:ascii="Calibri" w:eastAsia="Calibri" w:hAnsi="Calibri" w:cs="Calibri"/>
          <w:i/>
          <w:color w:val="000000"/>
          <w:sz w:val="22"/>
          <w:lang w:val="en-ID"/>
        </w:rPr>
        <w:t xml:space="preserve"> kan/ nasi/ atau pun bikin sup/ gitu kan/ kalau untuk yang rice cooker/  gimana nih kak nurizky nih/komen/ udah payment belum/ayo kak nurizky 12 jam loh suhunya / betul/ tuh/ ini ada tempat minumnya juga/ sebelum di tutup/ cepet/cepet/cepet/sebelum keranjangnya ilang/nanti biasanya suka bingung kan/ kok tiba-tiba keranjangnya </w:t>
      </w:r>
      <w:r w:rsidRPr="00BF1B17">
        <w:rPr>
          <w:rFonts w:ascii="Calibri" w:eastAsia="Calibri" w:hAnsi="Calibri" w:cs="Calibri"/>
          <w:b/>
          <w:i/>
          <w:color w:val="000000"/>
          <w:sz w:val="22"/>
          <w:lang w:val="en-ID"/>
        </w:rPr>
        <w:t>ilang</w:t>
      </w:r>
      <w:r w:rsidRPr="00BF1B17">
        <w:rPr>
          <w:rFonts w:ascii="Calibri" w:eastAsia="Calibri" w:hAnsi="Calibri" w:cs="Calibri"/>
          <w:i/>
          <w:color w:val="000000"/>
          <w:sz w:val="22"/>
          <w:lang w:val="en-ID"/>
        </w:rPr>
        <w:t xml:space="preserve">/ biasanya ibu-ibu suka gitu kan/ dia kan tau/ berita yang lagi happening/ ya kan//   </w:t>
      </w:r>
    </w:p>
    <w:p w14:paraId="5134D761" w14:textId="36A07F20" w:rsidR="00BF1B17" w:rsidRPr="00BF1B17" w:rsidRDefault="00E367DD" w:rsidP="00E367DD">
      <w:pPr>
        <w:spacing w:line="259" w:lineRule="auto"/>
        <w:jc w:val="center"/>
        <w:rPr>
          <w:rFonts w:ascii="Calibri" w:eastAsia="Calibri" w:hAnsi="Calibri" w:cs="Calibri"/>
          <w:color w:val="000000"/>
          <w:sz w:val="22"/>
          <w:lang w:val="en-ID"/>
        </w:rPr>
      </w:pPr>
      <w:r w:rsidRPr="00BF1B17">
        <w:rPr>
          <w:rFonts w:ascii="Calibri" w:eastAsia="Calibri" w:hAnsi="Calibri" w:cs="Calibri"/>
          <w:color w:val="000000"/>
          <w:szCs w:val="18"/>
          <w:lang w:val="en-ID"/>
        </w:rPr>
        <w:t>Source: Research Result, 2023</w:t>
      </w:r>
    </w:p>
    <w:p w14:paraId="584B96CE" w14:textId="77777777" w:rsidR="00E367DD" w:rsidRDefault="00E367DD" w:rsidP="00E367DD">
      <w:pPr>
        <w:spacing w:after="5" w:line="250" w:lineRule="auto"/>
        <w:ind w:left="-15" w:firstLine="735"/>
        <w:jc w:val="both"/>
        <w:rPr>
          <w:rFonts w:ascii="Calibri" w:eastAsia="Calibri" w:hAnsi="Calibri" w:cs="Calibri"/>
          <w:color w:val="000000"/>
          <w:sz w:val="22"/>
          <w:lang w:val="en-ID"/>
        </w:rPr>
      </w:pPr>
    </w:p>
    <w:p w14:paraId="73377EE6" w14:textId="4499B899" w:rsidR="00BF1B17" w:rsidRPr="00BF1B17" w:rsidRDefault="00BF1B17" w:rsidP="00E367DD">
      <w:pPr>
        <w:spacing w:after="5" w:line="250" w:lineRule="auto"/>
        <w:ind w:left="-15" w:firstLine="735"/>
        <w:jc w:val="both"/>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The Oxone host does not utilize a specific dialect or switch code. The speakers, in this case, do not indicate that they are from a particular region or communicate with a particular linguistic style. They utilize variations of language like casual and consultative. We can see the variations in casual language in the sentence of </w:t>
      </w:r>
      <w:r w:rsidRPr="00BF1B17">
        <w:rPr>
          <w:rFonts w:ascii="Calibri" w:eastAsia="Calibri" w:hAnsi="Calibri" w:cs="Calibri"/>
          <w:i/>
          <w:color w:val="000000"/>
          <w:sz w:val="22"/>
          <w:lang w:val="en-ID"/>
        </w:rPr>
        <w:t>boleh kakak tanyain lagi sama kita yah, bener langsung ditanyain, komen-komen kita masih terbuka yah…</w:t>
      </w:r>
      <w:r w:rsidRPr="00BF1B17">
        <w:rPr>
          <w:rFonts w:ascii="Calibri" w:eastAsia="Calibri" w:hAnsi="Calibri" w:cs="Calibri"/>
          <w:color w:val="000000"/>
          <w:sz w:val="22"/>
          <w:lang w:val="en-ID"/>
        </w:rPr>
        <w:t xml:space="preserve">  which means may you ask us again, yes, that's correct, question us immediately, our comments are still open, correct? Meanwhile, the word “gak” is formally “tidak” which means no, planga plongo is basically from </w:t>
      </w:r>
      <w:r w:rsidRPr="00BF1B17">
        <w:rPr>
          <w:rFonts w:ascii="Calibri" w:eastAsia="Calibri" w:hAnsi="Calibri" w:cs="Calibri"/>
          <w:i/>
          <w:color w:val="000000"/>
          <w:sz w:val="22"/>
          <w:lang w:val="en-ID"/>
        </w:rPr>
        <w:t xml:space="preserve">plonga plongo </w:t>
      </w:r>
      <w:r w:rsidRPr="00BF1B17">
        <w:rPr>
          <w:rFonts w:ascii="Calibri" w:eastAsia="Calibri" w:hAnsi="Calibri" w:cs="Calibri"/>
          <w:color w:val="000000"/>
          <w:sz w:val="22"/>
          <w:lang w:val="en-ID"/>
        </w:rPr>
        <w:t xml:space="preserve">derived from Javanese which means astonished, </w:t>
      </w:r>
      <w:r w:rsidRPr="00BF1B17">
        <w:rPr>
          <w:rFonts w:ascii="Calibri" w:eastAsia="Calibri" w:hAnsi="Calibri" w:cs="Calibri"/>
          <w:i/>
          <w:color w:val="000000"/>
          <w:sz w:val="22"/>
          <w:lang w:val="en-ID"/>
        </w:rPr>
        <w:t>ngert</w:t>
      </w:r>
      <w:r w:rsidRPr="00BF1B17">
        <w:rPr>
          <w:rFonts w:ascii="Calibri" w:eastAsia="Calibri" w:hAnsi="Calibri" w:cs="Calibri"/>
          <w:color w:val="000000"/>
          <w:sz w:val="22"/>
          <w:lang w:val="en-ID"/>
        </w:rPr>
        <w:t xml:space="preserve">i is formally </w:t>
      </w:r>
      <w:r w:rsidRPr="00BF1B17">
        <w:rPr>
          <w:rFonts w:ascii="Calibri" w:eastAsia="Calibri" w:hAnsi="Calibri" w:cs="Calibri"/>
          <w:i/>
          <w:color w:val="000000"/>
          <w:sz w:val="22"/>
          <w:lang w:val="en-ID"/>
        </w:rPr>
        <w:t>mengerti</w:t>
      </w:r>
      <w:r w:rsidRPr="00BF1B17">
        <w:rPr>
          <w:rFonts w:ascii="Calibri" w:eastAsia="Calibri" w:hAnsi="Calibri" w:cs="Calibri"/>
          <w:color w:val="000000"/>
          <w:sz w:val="22"/>
          <w:lang w:val="en-ID"/>
        </w:rPr>
        <w:t xml:space="preserve"> which means understand. </w:t>
      </w:r>
      <w:r w:rsidRPr="00BF1B17">
        <w:rPr>
          <w:rFonts w:ascii="Calibri" w:eastAsia="Calibri" w:hAnsi="Calibri" w:cs="Calibri"/>
          <w:i/>
          <w:color w:val="000000"/>
          <w:sz w:val="22"/>
          <w:lang w:val="en-ID"/>
        </w:rPr>
        <w:t>gitu</w:t>
      </w:r>
      <w:r w:rsidRPr="00BF1B17">
        <w:rPr>
          <w:rFonts w:ascii="Calibri" w:eastAsia="Calibri" w:hAnsi="Calibri" w:cs="Calibri"/>
          <w:color w:val="000000"/>
          <w:sz w:val="22"/>
          <w:lang w:val="en-ID"/>
        </w:rPr>
        <w:t xml:space="preserve"> is the abbreviation for </w:t>
      </w:r>
      <w:r w:rsidRPr="00BF1B17">
        <w:rPr>
          <w:rFonts w:ascii="Calibri" w:eastAsia="Calibri" w:hAnsi="Calibri" w:cs="Calibri"/>
          <w:i/>
          <w:color w:val="000000"/>
          <w:sz w:val="22"/>
          <w:lang w:val="en-ID"/>
        </w:rPr>
        <w:t>begitu</w:t>
      </w:r>
      <w:r w:rsidRPr="00BF1B17">
        <w:rPr>
          <w:rFonts w:ascii="Calibri" w:eastAsia="Calibri" w:hAnsi="Calibri" w:cs="Calibri"/>
          <w:color w:val="000000"/>
          <w:sz w:val="22"/>
          <w:lang w:val="en-ID"/>
        </w:rPr>
        <w:t xml:space="preserve"> means like that , and </w:t>
      </w:r>
      <w:r w:rsidRPr="00BF1B17">
        <w:rPr>
          <w:rFonts w:ascii="Calibri" w:eastAsia="Calibri" w:hAnsi="Calibri" w:cs="Calibri"/>
          <w:i/>
          <w:color w:val="000000"/>
          <w:sz w:val="22"/>
          <w:lang w:val="en-ID"/>
        </w:rPr>
        <w:t>ilang</w:t>
      </w:r>
      <w:r w:rsidRPr="00BF1B17">
        <w:rPr>
          <w:rFonts w:ascii="Calibri" w:eastAsia="Calibri" w:hAnsi="Calibri" w:cs="Calibri"/>
          <w:color w:val="000000"/>
          <w:sz w:val="22"/>
          <w:lang w:val="en-ID"/>
        </w:rPr>
        <w:t xml:space="preserve"> is formally </w:t>
      </w:r>
      <w:r w:rsidRPr="00BF1B17">
        <w:rPr>
          <w:rFonts w:ascii="Calibri" w:eastAsia="Calibri" w:hAnsi="Calibri" w:cs="Calibri"/>
          <w:i/>
          <w:color w:val="000000"/>
          <w:sz w:val="22"/>
          <w:lang w:val="en-ID"/>
        </w:rPr>
        <w:t>hilang</w:t>
      </w:r>
      <w:r w:rsidRPr="00BF1B17">
        <w:rPr>
          <w:rFonts w:ascii="Calibri" w:eastAsia="Calibri" w:hAnsi="Calibri" w:cs="Calibri"/>
          <w:color w:val="000000"/>
          <w:sz w:val="22"/>
          <w:lang w:val="en-ID"/>
        </w:rPr>
        <w:t xml:space="preserve"> which means lost. </w:t>
      </w:r>
    </w:p>
    <w:p w14:paraId="330C3584" w14:textId="77777777" w:rsidR="00BF1B17" w:rsidRPr="00BF1B17" w:rsidRDefault="00BF1B17" w:rsidP="00BF1B17">
      <w:pPr>
        <w:spacing w:line="259" w:lineRule="auto"/>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 </w:t>
      </w:r>
    </w:p>
    <w:p w14:paraId="11EC03C9" w14:textId="15ECE361" w:rsidR="00E367DD" w:rsidRPr="00E367DD" w:rsidRDefault="00E367DD" w:rsidP="00E367DD">
      <w:pPr>
        <w:spacing w:line="259" w:lineRule="auto"/>
        <w:jc w:val="center"/>
        <w:rPr>
          <w:rFonts w:ascii="Calibri" w:eastAsia="Calibri" w:hAnsi="Calibri" w:cs="Calibri"/>
          <w:color w:val="000000"/>
          <w:szCs w:val="18"/>
          <w:lang w:val="en-ID"/>
        </w:rPr>
      </w:pPr>
      <w:r w:rsidRPr="00E367DD">
        <w:rPr>
          <w:rFonts w:ascii="Calibri" w:eastAsia="Calibri" w:hAnsi="Calibri" w:cs="Calibri"/>
          <w:color w:val="000000"/>
          <w:szCs w:val="18"/>
          <w:lang w:val="en-ID"/>
        </w:rPr>
        <w:t xml:space="preserve">Table </w:t>
      </w:r>
      <w:r>
        <w:rPr>
          <w:rFonts w:ascii="Calibri" w:eastAsia="Calibri" w:hAnsi="Calibri" w:cs="Calibri"/>
          <w:color w:val="000000"/>
          <w:szCs w:val="18"/>
          <w:lang w:val="en-ID"/>
        </w:rPr>
        <w:t>9</w:t>
      </w:r>
      <w:r w:rsidRPr="00E367DD">
        <w:rPr>
          <w:rFonts w:ascii="Calibri" w:eastAsia="Calibri" w:hAnsi="Calibri" w:cs="Calibri"/>
          <w:color w:val="000000"/>
          <w:szCs w:val="18"/>
          <w:lang w:val="en-ID"/>
        </w:rPr>
        <w:t>. The speech event of Muslim Limited</w:t>
      </w:r>
    </w:p>
    <w:p w14:paraId="680BF3F9" w14:textId="2659F809" w:rsidR="00BF1B17" w:rsidRPr="00BF1B17" w:rsidRDefault="00BF1B17" w:rsidP="00E367DD">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jc w:val="both"/>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 </w:t>
      </w:r>
      <w:r w:rsidRPr="00BF1B17">
        <w:rPr>
          <w:rFonts w:ascii="Calibri" w:eastAsia="Calibri" w:hAnsi="Calibri" w:cs="Calibri"/>
          <w:i/>
          <w:color w:val="000000"/>
          <w:sz w:val="22"/>
          <w:lang w:val="en-ID"/>
        </w:rPr>
        <w:t xml:space="preserve">“Saya spill dulu seratus enam enam ini  yah bun/ saya spill dulu yah bun/ teko bunda/ takutnya bunda tadi belum nyimak/ Teko bunda/ dapatnya teko dua liter seperti ini/ dapat lagi bowl lima ratus mili/ bowl lagi lima ratus mili/ Ini ada di kode </w:t>
      </w:r>
      <w:r w:rsidRPr="00BF1B17">
        <w:rPr>
          <w:rFonts w:ascii="Calibri" w:eastAsia="Calibri" w:hAnsi="Calibri" w:cs="Calibri"/>
          <w:b/>
          <w:i/>
          <w:color w:val="000000"/>
          <w:sz w:val="22"/>
          <w:lang w:val="en-ID"/>
        </w:rPr>
        <w:t>serratus</w:t>
      </w:r>
      <w:r w:rsidRPr="00BF1B17">
        <w:rPr>
          <w:rFonts w:ascii="Calibri" w:eastAsia="Calibri" w:hAnsi="Calibri" w:cs="Calibri"/>
          <w:i/>
          <w:color w:val="000000"/>
          <w:sz w:val="22"/>
          <w:lang w:val="en-ID"/>
        </w:rPr>
        <w:t xml:space="preserve"> tujuh puluh yah bun/ </w:t>
      </w:r>
      <w:r w:rsidRPr="00BF1B17">
        <w:rPr>
          <w:rFonts w:ascii="Calibri" w:eastAsia="Calibri" w:hAnsi="Calibri" w:cs="Calibri"/>
          <w:b/>
          <w:i/>
          <w:color w:val="000000"/>
          <w:sz w:val="22"/>
          <w:lang w:val="en-ID"/>
        </w:rPr>
        <w:t>tuperwar</w:t>
      </w:r>
      <w:r w:rsidRPr="00BF1B17">
        <w:rPr>
          <w:rFonts w:ascii="Calibri" w:eastAsia="Calibri" w:hAnsi="Calibri" w:cs="Calibri"/>
          <w:i/>
          <w:color w:val="000000"/>
          <w:sz w:val="22"/>
          <w:lang w:val="en-ID"/>
        </w:rPr>
        <w:t xml:space="preserve">/ di cekout bun/mantan bunda/ paket yuk bunda kalau tas/ tas saja/ ini toples bunda/ toples bunda/ </w:t>
      </w:r>
      <w:r w:rsidRPr="00BF1B17">
        <w:rPr>
          <w:rFonts w:ascii="Calibri" w:eastAsia="Calibri" w:hAnsi="Calibri" w:cs="Calibri"/>
          <w:b/>
          <w:i/>
          <w:color w:val="000000"/>
          <w:sz w:val="22"/>
          <w:lang w:val="en-ID"/>
        </w:rPr>
        <w:t>kode</w:t>
      </w:r>
      <w:r w:rsidRPr="00BF1B17">
        <w:rPr>
          <w:rFonts w:ascii="Calibri" w:eastAsia="Calibri" w:hAnsi="Calibri" w:cs="Calibri"/>
          <w:i/>
          <w:color w:val="000000"/>
          <w:sz w:val="22"/>
          <w:lang w:val="en-ID"/>
        </w:rPr>
        <w:t xml:space="preserve"> lima empat/ yang mau silahkan/ yuk kode lima empat/ ada yang mau gak nih bun/ gak ada isinya bunda/ gak ada isinya tuh yah bun/ yang mau </w:t>
      </w:r>
      <w:r w:rsidRPr="00BF1B17">
        <w:rPr>
          <w:rFonts w:ascii="Calibri" w:eastAsia="Calibri" w:hAnsi="Calibri" w:cs="Calibri"/>
          <w:b/>
          <w:i/>
          <w:color w:val="000000"/>
          <w:sz w:val="22"/>
          <w:lang w:val="en-ID"/>
        </w:rPr>
        <w:t>monggo</w:t>
      </w:r>
      <w:r w:rsidRPr="00BF1B17">
        <w:rPr>
          <w:rFonts w:ascii="Calibri" w:eastAsia="Calibri" w:hAnsi="Calibri" w:cs="Calibri"/>
          <w:i/>
          <w:color w:val="000000"/>
          <w:sz w:val="22"/>
          <w:lang w:val="en-ID"/>
        </w:rPr>
        <w:t xml:space="preserve">/ oke bunda cakap ini yah/ tas nya awet bant/ awet bangeeet//  </w:t>
      </w:r>
    </w:p>
    <w:p w14:paraId="2D9B8DC5" w14:textId="77777777" w:rsidR="00BF1B17" w:rsidRPr="00BF1B17" w:rsidRDefault="00BF1B17" w:rsidP="00BF1B17">
      <w:pPr>
        <w:spacing w:line="259" w:lineRule="auto"/>
        <w:ind w:left="720"/>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 </w:t>
      </w:r>
    </w:p>
    <w:p w14:paraId="439A9123" w14:textId="77777777" w:rsidR="00BF1B17" w:rsidRPr="00BF1B17" w:rsidRDefault="00BF1B17" w:rsidP="00BF1B17">
      <w:pPr>
        <w:spacing w:after="5" w:line="250" w:lineRule="auto"/>
        <w:ind w:left="-15" w:firstLine="710"/>
        <w:jc w:val="both"/>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The host of Sitytuppyreal employs unique words to effectively engage with their customers. There are the terms </w:t>
      </w:r>
      <w:r w:rsidRPr="00BF1B17">
        <w:rPr>
          <w:rFonts w:ascii="Calibri" w:eastAsia="Calibri" w:hAnsi="Calibri" w:cs="Calibri"/>
          <w:i/>
          <w:color w:val="000000"/>
          <w:sz w:val="22"/>
          <w:lang w:val="en-ID"/>
        </w:rPr>
        <w:t>mantan</w:t>
      </w:r>
      <w:r w:rsidRPr="00BF1B17">
        <w:rPr>
          <w:rFonts w:ascii="Calibri" w:eastAsia="Calibri" w:hAnsi="Calibri" w:cs="Calibri"/>
          <w:color w:val="000000"/>
          <w:sz w:val="22"/>
          <w:lang w:val="en-ID"/>
        </w:rPr>
        <w:t xml:space="preserve"> and </w:t>
      </w:r>
      <w:r w:rsidRPr="00BF1B17">
        <w:rPr>
          <w:rFonts w:ascii="Calibri" w:eastAsia="Calibri" w:hAnsi="Calibri" w:cs="Calibri"/>
          <w:i/>
          <w:color w:val="000000"/>
          <w:sz w:val="22"/>
          <w:lang w:val="en-ID"/>
        </w:rPr>
        <w:t>kode</w:t>
      </w:r>
      <w:r w:rsidRPr="00BF1B17">
        <w:rPr>
          <w:rFonts w:ascii="Calibri" w:eastAsia="Calibri" w:hAnsi="Calibri" w:cs="Calibri"/>
          <w:color w:val="000000"/>
          <w:sz w:val="22"/>
          <w:lang w:val="en-ID"/>
        </w:rPr>
        <w:t xml:space="preserve">. The term "mantan" denotes the secondary hand, whereas "kode" pertains to the showcase. The purpose of the use </w:t>
      </w:r>
      <w:r w:rsidRPr="00BF1B17">
        <w:rPr>
          <w:rFonts w:ascii="Calibri" w:eastAsia="Calibri" w:hAnsi="Calibri" w:cs="Calibri"/>
          <w:i/>
          <w:color w:val="000000"/>
          <w:sz w:val="22"/>
          <w:lang w:val="en-ID"/>
        </w:rPr>
        <w:t>mantan</w:t>
      </w:r>
      <w:r w:rsidRPr="00BF1B17">
        <w:rPr>
          <w:rFonts w:ascii="Calibri" w:eastAsia="Calibri" w:hAnsi="Calibri" w:cs="Calibri"/>
          <w:color w:val="000000"/>
          <w:sz w:val="22"/>
          <w:lang w:val="en-ID"/>
        </w:rPr>
        <w:t xml:space="preserve"> is to cover up the TikTok algorithm's </w:t>
      </w:r>
      <w:r w:rsidRPr="00BF1B17">
        <w:rPr>
          <w:rFonts w:ascii="Calibri" w:eastAsia="Calibri" w:hAnsi="Calibri" w:cs="Calibri"/>
          <w:color w:val="000000"/>
          <w:sz w:val="22"/>
          <w:lang w:val="en-ID"/>
        </w:rPr>
        <w:lastRenderedPageBreak/>
        <w:t xml:space="preserve">restriction on the sale of pre-owned items. While the use of kode to facilitate communication easier between seller and buyer due to the average customer is mother.  </w:t>
      </w:r>
    </w:p>
    <w:p w14:paraId="1BBECC00" w14:textId="77777777" w:rsidR="00BF1B17" w:rsidRPr="00BF1B17" w:rsidRDefault="00BF1B17" w:rsidP="00BF1B17">
      <w:pPr>
        <w:spacing w:line="259" w:lineRule="auto"/>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 </w:t>
      </w:r>
    </w:p>
    <w:p w14:paraId="01A4DF24" w14:textId="77777777" w:rsidR="00BF1B17" w:rsidRPr="00BF1B17" w:rsidRDefault="00BF1B17" w:rsidP="00BF1B17">
      <w:pPr>
        <w:spacing w:after="5" w:line="250" w:lineRule="auto"/>
        <w:ind w:left="720" w:right="853"/>
        <w:jc w:val="both"/>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“We replaced "bekas" with "mantan" because the tiktok algorithm does not allow the sale of used products. We also keep on saying what we need to say to retain consumer attention and prevent them from seeking alternatives. That's why we tend to say things more than once…” (Sitytuppyreal) </w:t>
      </w:r>
    </w:p>
    <w:p w14:paraId="2D1111F7" w14:textId="77777777" w:rsidR="00BF1B17" w:rsidRPr="00BF1B17" w:rsidRDefault="00BF1B17" w:rsidP="00BF1B17">
      <w:pPr>
        <w:spacing w:line="259" w:lineRule="auto"/>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 </w:t>
      </w:r>
    </w:p>
    <w:p w14:paraId="02EAF8D1" w14:textId="77777777" w:rsidR="00BF1B17" w:rsidRPr="00BF1B17" w:rsidRDefault="00BF1B17" w:rsidP="00BF1B17">
      <w:pPr>
        <w:spacing w:after="5" w:line="250" w:lineRule="auto"/>
        <w:ind w:left="-15" w:firstLine="710"/>
        <w:jc w:val="both"/>
        <w:rPr>
          <w:rFonts w:ascii="Calibri" w:eastAsia="Calibri" w:hAnsi="Calibri" w:cs="Calibri"/>
          <w:color w:val="000000"/>
          <w:sz w:val="22"/>
          <w:lang w:val="en-ID"/>
        </w:rPr>
      </w:pPr>
      <w:r w:rsidRPr="00BF1B17">
        <w:rPr>
          <w:rFonts w:ascii="Calibri" w:eastAsia="Calibri" w:hAnsi="Calibri" w:cs="Calibri"/>
          <w:color w:val="000000"/>
          <w:sz w:val="22"/>
          <w:lang w:val="en-ID"/>
        </w:rPr>
        <w:t xml:space="preserve">The terms "mantan" and "kode" can be classified as ideolect that are subjectively held by the speaker and are comprehensible to individuals or groups with whom they share a connection. Ideolect, as (Dittmar, 1996) stated the linguistic expression of an individual, influenced by acquired habits and stylistic characteristics of their personality, varies from that of other individuals. Furthermore, it typically exhibits different or varying degrees of emphasis across different stages of life. The language variety employed exhibits a pronounced Batakness dialect, accompanied by an informal linguistic style. The words that strongly indicate that the host uses a Batak accent are found in </w:t>
      </w:r>
      <w:r w:rsidRPr="00BF1B17">
        <w:rPr>
          <w:rFonts w:ascii="Calibri" w:eastAsia="Calibri" w:hAnsi="Calibri" w:cs="Calibri"/>
          <w:i/>
          <w:color w:val="000000"/>
          <w:sz w:val="22"/>
          <w:lang w:val="en-ID"/>
        </w:rPr>
        <w:t>serratus</w:t>
      </w:r>
      <w:r w:rsidRPr="00BF1B17">
        <w:rPr>
          <w:rFonts w:ascii="Calibri" w:eastAsia="Calibri" w:hAnsi="Calibri" w:cs="Calibri"/>
          <w:color w:val="000000"/>
          <w:sz w:val="22"/>
          <w:lang w:val="en-ID"/>
        </w:rPr>
        <w:t xml:space="preserve"> and </w:t>
      </w:r>
      <w:r w:rsidRPr="00BF1B17">
        <w:rPr>
          <w:rFonts w:ascii="Calibri" w:eastAsia="Calibri" w:hAnsi="Calibri" w:cs="Calibri"/>
          <w:i/>
          <w:color w:val="000000"/>
          <w:sz w:val="22"/>
          <w:lang w:val="en-ID"/>
        </w:rPr>
        <w:t>tuperwar</w:t>
      </w:r>
      <w:r w:rsidRPr="00BF1B17">
        <w:rPr>
          <w:rFonts w:ascii="Calibri" w:eastAsia="Calibri" w:hAnsi="Calibri" w:cs="Calibri"/>
          <w:color w:val="000000"/>
          <w:sz w:val="22"/>
          <w:lang w:val="en-ID"/>
        </w:rPr>
        <w:t xml:space="preserve">. Nevertheless, on certain occasions, hosts use code-switching by using the Javanese term "monggo," which conveys the meaning of "please." </w:t>
      </w:r>
    </w:p>
    <w:p w14:paraId="3B36661C" w14:textId="77777777" w:rsidR="00BF1B17" w:rsidRPr="00BF1B17" w:rsidRDefault="00BF1B17" w:rsidP="00BF1B17">
      <w:pPr>
        <w:jc w:val="both"/>
        <w:rPr>
          <w:rFonts w:asciiTheme="minorHAnsi" w:eastAsia="Calibri" w:hAnsiTheme="minorHAnsi" w:cstheme="minorHAnsi"/>
          <w:bCs/>
          <w:sz w:val="24"/>
          <w:szCs w:val="24"/>
        </w:rPr>
      </w:pPr>
    </w:p>
    <w:p w14:paraId="6347F70B" w14:textId="77777777" w:rsidR="00CD0E94" w:rsidRPr="0089024C" w:rsidRDefault="00CD0E94" w:rsidP="00CD0E94">
      <w:pPr>
        <w:jc w:val="both"/>
        <w:rPr>
          <w:rFonts w:ascii="Calibri" w:eastAsia="Calibri" w:hAnsi="Calibri" w:cs="Calibri"/>
          <w:bCs/>
          <w:sz w:val="22"/>
          <w:szCs w:val="22"/>
        </w:rPr>
      </w:pPr>
    </w:p>
    <w:p w14:paraId="398C0539" w14:textId="4C2CF033" w:rsidR="00956820" w:rsidRDefault="0012128B">
      <w:pPr>
        <w:jc w:val="both"/>
        <w:rPr>
          <w:rFonts w:ascii="Calibri" w:eastAsia="Calibri" w:hAnsi="Calibri" w:cs="Calibri"/>
          <w:b/>
          <w:sz w:val="22"/>
          <w:szCs w:val="22"/>
        </w:rPr>
      </w:pPr>
      <w:r>
        <w:rPr>
          <w:rFonts w:ascii="Calibri" w:eastAsia="Calibri" w:hAnsi="Calibri" w:cs="Calibri"/>
          <w:b/>
          <w:sz w:val="22"/>
          <w:szCs w:val="22"/>
        </w:rPr>
        <w:t xml:space="preserve">CONCLUSION </w:t>
      </w:r>
    </w:p>
    <w:p w14:paraId="40E8C0D1" w14:textId="483029B1" w:rsidR="00FD56A9" w:rsidRDefault="00FD56A9" w:rsidP="00FD56A9">
      <w:pPr>
        <w:pBdr>
          <w:top w:val="nil"/>
          <w:left w:val="nil"/>
          <w:bottom w:val="nil"/>
          <w:right w:val="nil"/>
          <w:between w:val="nil"/>
        </w:pBdr>
        <w:ind w:firstLine="720"/>
        <w:jc w:val="both"/>
        <w:rPr>
          <w:rFonts w:ascii="Calibri" w:eastAsia="Calibri" w:hAnsi="Calibri" w:cs="Calibri"/>
          <w:color w:val="000000"/>
          <w:sz w:val="22"/>
          <w:szCs w:val="22"/>
        </w:rPr>
      </w:pPr>
      <w:r w:rsidRPr="00FD56A9">
        <w:rPr>
          <w:rFonts w:ascii="Calibri" w:eastAsia="Calibri" w:hAnsi="Calibri" w:cs="Calibri"/>
          <w:color w:val="000000"/>
          <w:sz w:val="22"/>
          <w:szCs w:val="22"/>
        </w:rPr>
        <w:t xml:space="preserve">The emergence of social media has facilitated the development of live streaming technology, which has been used for commercial transactions including the exchange of goods and services. The magnitude of live streaming has increased the number of live streaming agencies and consultants. The profession of live streaming’s host has been popular as a promising job for career development. This observation highlights the dynamic nature of online buying and selling operations, wherein real-time updates and live streaming are very important for convincing potential buyers about the quality and value of the goods being offered. Therefore, it is necessary to assess the proficiency of the host's verbal communication, encompassing factors such as speaking rate, intonation, and vocal amplitude. </w:t>
      </w:r>
      <w:r>
        <w:rPr>
          <w:rFonts w:ascii="Calibri" w:eastAsia="Calibri" w:hAnsi="Calibri" w:cs="Calibri"/>
          <w:color w:val="000000"/>
          <w:sz w:val="22"/>
          <w:szCs w:val="22"/>
        </w:rPr>
        <w:tab/>
      </w:r>
    </w:p>
    <w:p w14:paraId="65EA89DA" w14:textId="2AC4D572" w:rsidR="00956820" w:rsidRDefault="00FD56A9" w:rsidP="00FD56A9">
      <w:pPr>
        <w:pBdr>
          <w:top w:val="nil"/>
          <w:left w:val="nil"/>
          <w:bottom w:val="nil"/>
          <w:right w:val="nil"/>
          <w:between w:val="nil"/>
        </w:pBdr>
        <w:ind w:firstLine="720"/>
        <w:jc w:val="both"/>
        <w:rPr>
          <w:rFonts w:ascii="Calibri" w:eastAsia="Calibri" w:hAnsi="Calibri" w:cs="Calibri"/>
          <w:color w:val="000000"/>
          <w:sz w:val="22"/>
          <w:szCs w:val="22"/>
        </w:rPr>
      </w:pPr>
      <w:r w:rsidRPr="00FD56A9">
        <w:rPr>
          <w:rFonts w:ascii="Calibri" w:eastAsia="Calibri" w:hAnsi="Calibri" w:cs="Calibri"/>
          <w:color w:val="000000"/>
          <w:sz w:val="22"/>
          <w:szCs w:val="22"/>
        </w:rPr>
        <w:t xml:space="preserve">These data are crucial in cultivating the level of engagement among people who are taking part in discussions about products. The significant level of their engagement indicates a correspondingly great potential for sales. The results of this study show that four TikTok Live Commerce accounts have actively involved customers in their presentation. The rate of speech showed that the hosts surpass 100 words per minute. Trade presentations on TikTok revealed a distinct divergence from public presentations, as they typically slow down the rate of speech. Like podcasters, TikTok hosts need to be able to say what they want to say at a rate of 100 to 150 words per minute or more like a radio announcer which can reach 160-180 wpm (Berty, 2022; Rodero, 2012). The objective of this approach is to establish a close and personal relationship with costumers, fostering a sense of interpersonal connection. The communication style which can be used are either task-oriented or interpersonal-oriented, with characterized behavior by high dominance and high sociability. Currently, the most common ways for hosts to communicate with the costumers are through task-oriented style and emotive person. In order to communicate effectively, it is helpful for the host to to generate distinct language with its own unique language phrases. this is advantageous as it indicates that the host has developed its own idiolect.  </w:t>
      </w:r>
    </w:p>
    <w:p w14:paraId="5C3D4EE7" w14:textId="77777777" w:rsidR="0089024C" w:rsidRDefault="0089024C" w:rsidP="00FD56A9">
      <w:pPr>
        <w:pBdr>
          <w:top w:val="nil"/>
          <w:left w:val="nil"/>
          <w:bottom w:val="nil"/>
          <w:right w:val="nil"/>
          <w:between w:val="nil"/>
        </w:pBdr>
        <w:ind w:firstLine="720"/>
        <w:jc w:val="both"/>
        <w:rPr>
          <w:rFonts w:ascii="Calibri" w:eastAsia="Calibri" w:hAnsi="Calibri" w:cs="Calibri"/>
          <w:color w:val="000000"/>
          <w:sz w:val="22"/>
          <w:szCs w:val="22"/>
        </w:rPr>
      </w:pPr>
    </w:p>
    <w:p w14:paraId="1E931CB3" w14:textId="77777777" w:rsidR="0089024C" w:rsidRDefault="0089024C" w:rsidP="00FD56A9">
      <w:pPr>
        <w:pBdr>
          <w:top w:val="nil"/>
          <w:left w:val="nil"/>
          <w:bottom w:val="nil"/>
          <w:right w:val="nil"/>
          <w:between w:val="nil"/>
        </w:pBdr>
        <w:jc w:val="both"/>
        <w:rPr>
          <w:rFonts w:ascii="Calibri" w:eastAsia="Calibri" w:hAnsi="Calibri" w:cs="Calibri"/>
          <w:color w:val="000000"/>
          <w:sz w:val="22"/>
          <w:szCs w:val="22"/>
        </w:rPr>
      </w:pPr>
    </w:p>
    <w:p w14:paraId="71B75DBD" w14:textId="7DBC30D3" w:rsidR="00956820" w:rsidRDefault="0012128B">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color w:val="000000"/>
          <w:sz w:val="22"/>
          <w:szCs w:val="22"/>
        </w:rPr>
        <w:t xml:space="preserve">REFERENCES </w:t>
      </w:r>
    </w:p>
    <w:p w14:paraId="6A5EF0D9"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Alba, J., Lynch, J., Weitz, B., Janiszewski, C., Lutz, R., Sawyer, A., &amp; Wood, S. (1997). Interactive Home </w:t>
      </w:r>
    </w:p>
    <w:p w14:paraId="574A9470"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Shopping: Consumer, Retailer, and Manufacturer Incentives to Participate in Electronic </w:t>
      </w:r>
    </w:p>
    <w:p w14:paraId="632D8432"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Marketplaces. </w:t>
      </w:r>
      <w:r w:rsidRPr="00E367DD">
        <w:rPr>
          <w:rFonts w:ascii="Calibri" w:eastAsia="Calibri" w:hAnsi="Calibri" w:cs="Calibri"/>
          <w:i/>
          <w:sz w:val="22"/>
          <w:szCs w:val="22"/>
        </w:rPr>
        <w:t>Journal of Marketing</w:t>
      </w:r>
      <w:r w:rsidRPr="00E367DD">
        <w:rPr>
          <w:rFonts w:ascii="Calibri" w:hAnsi="Calibri" w:cs="Calibri"/>
          <w:sz w:val="22"/>
          <w:szCs w:val="22"/>
        </w:rPr>
        <w:t xml:space="preserve">, </w:t>
      </w:r>
      <w:r w:rsidRPr="00E367DD">
        <w:rPr>
          <w:rFonts w:ascii="Calibri" w:eastAsia="Calibri" w:hAnsi="Calibri" w:cs="Calibri"/>
          <w:i/>
          <w:sz w:val="22"/>
          <w:szCs w:val="22"/>
        </w:rPr>
        <w:t>61</w:t>
      </w:r>
      <w:r w:rsidRPr="00E367DD">
        <w:rPr>
          <w:rFonts w:ascii="Calibri" w:hAnsi="Calibri" w:cs="Calibri"/>
          <w:sz w:val="22"/>
          <w:szCs w:val="22"/>
        </w:rPr>
        <w:t xml:space="preserve">(3), 38. https://doi.org/10.2307/1251788 </w:t>
      </w:r>
    </w:p>
    <w:p w14:paraId="64356780"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lastRenderedPageBreak/>
        <w:t xml:space="preserve">Aryanto, A. (2018, December 12). Oxone, Produk dalam Negeri dengan Model Luar Negeri. </w:t>
      </w:r>
      <w:r w:rsidRPr="00E367DD">
        <w:rPr>
          <w:rFonts w:ascii="Calibri" w:eastAsia="Calibri" w:hAnsi="Calibri" w:cs="Calibri"/>
          <w:i/>
          <w:sz w:val="22"/>
          <w:szCs w:val="22"/>
        </w:rPr>
        <w:t>Wartaekonomi.Co.Id</w:t>
      </w:r>
      <w:r w:rsidRPr="00E367DD">
        <w:rPr>
          <w:rFonts w:ascii="Calibri" w:hAnsi="Calibri" w:cs="Calibri"/>
          <w:sz w:val="22"/>
          <w:szCs w:val="22"/>
        </w:rPr>
        <w:t xml:space="preserve">. </w:t>
      </w:r>
    </w:p>
    <w:p w14:paraId="6FD08492"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Aslinda, &amp; Syafyahya, L. (2010). </w:t>
      </w:r>
      <w:r w:rsidRPr="00E367DD">
        <w:rPr>
          <w:rFonts w:ascii="Calibri" w:eastAsia="Calibri" w:hAnsi="Calibri" w:cs="Calibri"/>
          <w:i/>
          <w:sz w:val="22"/>
          <w:szCs w:val="22"/>
        </w:rPr>
        <w:t>Pengantar Sosiolinguistik</w:t>
      </w:r>
      <w:r w:rsidRPr="00E367DD">
        <w:rPr>
          <w:rFonts w:ascii="Calibri" w:hAnsi="Calibri" w:cs="Calibri"/>
          <w:sz w:val="22"/>
          <w:szCs w:val="22"/>
        </w:rPr>
        <w:t xml:space="preserve">. Refika Aditama. </w:t>
      </w:r>
    </w:p>
    <w:p w14:paraId="2D7AC489" w14:textId="77777777" w:rsidR="00E367DD" w:rsidRPr="00E367DD" w:rsidRDefault="00E367DD" w:rsidP="00E367DD">
      <w:pPr>
        <w:spacing w:line="249" w:lineRule="auto"/>
        <w:ind w:left="475" w:hanging="490"/>
        <w:jc w:val="both"/>
        <w:rPr>
          <w:rFonts w:ascii="Calibri" w:hAnsi="Calibri" w:cs="Calibri"/>
          <w:sz w:val="22"/>
          <w:szCs w:val="22"/>
        </w:rPr>
      </w:pPr>
      <w:r w:rsidRPr="00E367DD">
        <w:rPr>
          <w:rFonts w:ascii="Calibri" w:hAnsi="Calibri" w:cs="Calibri"/>
          <w:sz w:val="22"/>
          <w:szCs w:val="22"/>
        </w:rPr>
        <w:t xml:space="preserve">Azza, F. N., &amp; Sukirno. (2023). </w:t>
      </w:r>
      <w:r w:rsidRPr="00E367DD">
        <w:rPr>
          <w:rFonts w:ascii="Calibri" w:eastAsia="Calibri" w:hAnsi="Calibri" w:cs="Calibri"/>
          <w:i/>
          <w:sz w:val="22"/>
          <w:szCs w:val="22"/>
        </w:rPr>
        <w:t>Language Variations in the WhatsApp Group of Sellers and Buyers on Rafalia Online Shop</w:t>
      </w:r>
      <w:r w:rsidRPr="00E367DD">
        <w:rPr>
          <w:rFonts w:ascii="Calibri" w:hAnsi="Calibri" w:cs="Calibri"/>
          <w:sz w:val="22"/>
          <w:szCs w:val="22"/>
        </w:rPr>
        <w:t xml:space="preserve">. https://doi.org/10.4108/eai.22-7-2023.2335613 </w:t>
      </w:r>
    </w:p>
    <w:p w14:paraId="59D27A09"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Baird, N. (2023, March 5). Livestream Shopping Is Not Going To Take Over E-Commerce. </w:t>
      </w:r>
    </w:p>
    <w:p w14:paraId="7AA082EF"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Www.Forbes.Com</w:t>
      </w:r>
      <w:r w:rsidRPr="00E367DD">
        <w:rPr>
          <w:rFonts w:ascii="Calibri" w:hAnsi="Calibri" w:cs="Calibri"/>
          <w:sz w:val="22"/>
          <w:szCs w:val="22"/>
        </w:rPr>
        <w:t xml:space="preserve">. https://www.forbes.com/sites/nikkibaird/2023/03/05/livestream-shoppingis-not-going-to-take-over-e-commerce/?sh=5a173f1a1c61 </w:t>
      </w:r>
    </w:p>
    <w:p w14:paraId="7ACBF897"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Becdach, C., Brodherson, M., Gersovitz, A., Glaser, D., Kubetz, Z., Magni, M., &amp; Nakajima, J. (2022). </w:t>
      </w:r>
    </w:p>
    <w:p w14:paraId="7E0CBD1A"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Social commerce market: US brands’ strategies for growth</w:t>
      </w:r>
      <w:r w:rsidRPr="00E367DD">
        <w:rPr>
          <w:rFonts w:ascii="Calibri" w:hAnsi="Calibri" w:cs="Calibri"/>
          <w:sz w:val="22"/>
          <w:szCs w:val="22"/>
        </w:rPr>
        <w:t xml:space="preserve">. Www.Mckinsey.Com. https://www.mckinsey.com/capabilities/growth-marketing-and-sales/our-insights/socialcommerce-the-future-of-how-consumers-interact-with-brands </w:t>
      </w:r>
    </w:p>
    <w:p w14:paraId="49BF7F36"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Belanche, D., Casaló, L. V., Flavián, M., &amp; Ibáñez-Sánchez, S. (2021). Understanding influencer marketing: The role of congruence between influencers, products and consumers. </w:t>
      </w:r>
      <w:r w:rsidRPr="00E367DD">
        <w:rPr>
          <w:rFonts w:ascii="Calibri" w:eastAsia="Calibri" w:hAnsi="Calibri" w:cs="Calibri"/>
          <w:i/>
          <w:sz w:val="22"/>
          <w:szCs w:val="22"/>
        </w:rPr>
        <w:t xml:space="preserve">Journal of </w:t>
      </w:r>
    </w:p>
    <w:p w14:paraId="528022B1"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Business Research</w:t>
      </w:r>
      <w:r w:rsidRPr="00E367DD">
        <w:rPr>
          <w:rFonts w:ascii="Calibri" w:hAnsi="Calibri" w:cs="Calibri"/>
          <w:sz w:val="22"/>
          <w:szCs w:val="22"/>
        </w:rPr>
        <w:t xml:space="preserve">, </w:t>
      </w:r>
      <w:r w:rsidRPr="00E367DD">
        <w:rPr>
          <w:rFonts w:ascii="Calibri" w:eastAsia="Calibri" w:hAnsi="Calibri" w:cs="Calibri"/>
          <w:i/>
          <w:sz w:val="22"/>
          <w:szCs w:val="22"/>
        </w:rPr>
        <w:t>132</w:t>
      </w:r>
      <w:r w:rsidRPr="00E367DD">
        <w:rPr>
          <w:rFonts w:ascii="Calibri" w:hAnsi="Calibri" w:cs="Calibri"/>
          <w:sz w:val="22"/>
          <w:szCs w:val="22"/>
        </w:rPr>
        <w:t>, 186</w:t>
      </w:r>
      <w:r w:rsidRPr="00E367DD">
        <w:rPr>
          <w:rFonts w:ascii="Calibri" w:eastAsia="Calibri" w:hAnsi="Calibri" w:cs="Calibri"/>
          <w:sz w:val="22"/>
          <w:szCs w:val="22"/>
        </w:rPr>
        <w:t>–</w:t>
      </w:r>
      <w:r w:rsidRPr="00E367DD">
        <w:rPr>
          <w:rFonts w:ascii="Calibri" w:hAnsi="Calibri" w:cs="Calibri"/>
          <w:sz w:val="22"/>
          <w:szCs w:val="22"/>
        </w:rPr>
        <w:t xml:space="preserve">195. https://doi.org/10.1016/J.JBUSRES.2021.03.067 </w:t>
      </w:r>
    </w:p>
    <w:p w14:paraId="18BFC59B"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Berty, T. T. S. (2022, May 25). Berapa Rata-rata Jumlah Kata yang Diucapkan Manusia dalam Satu Menit? </w:t>
      </w:r>
      <w:r w:rsidRPr="00E367DD">
        <w:rPr>
          <w:rFonts w:ascii="Calibri" w:eastAsia="Calibri" w:hAnsi="Calibri" w:cs="Calibri"/>
          <w:i/>
          <w:sz w:val="22"/>
          <w:szCs w:val="22"/>
        </w:rPr>
        <w:t>Liputan 6.Com</w:t>
      </w:r>
      <w:r w:rsidRPr="00E367DD">
        <w:rPr>
          <w:rFonts w:ascii="Calibri" w:hAnsi="Calibri" w:cs="Calibri"/>
          <w:sz w:val="22"/>
          <w:szCs w:val="22"/>
        </w:rPr>
        <w:t xml:space="preserve">. https://www.liputan6.com/global/read/4971087/berapa-rata-ratajumlah-kata-yang-diucapkan-manusia-dalam-satu-menit </w:t>
      </w:r>
    </w:p>
    <w:p w14:paraId="100C94F7"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Chaer, A., &amp; Agustina, L. (2004). </w:t>
      </w:r>
      <w:r w:rsidRPr="00E367DD">
        <w:rPr>
          <w:rFonts w:ascii="Calibri" w:eastAsia="Calibri" w:hAnsi="Calibri" w:cs="Calibri"/>
          <w:i/>
          <w:sz w:val="22"/>
          <w:szCs w:val="22"/>
        </w:rPr>
        <w:t>Sosiolinguistik Perkenalan Awal</w:t>
      </w:r>
      <w:r w:rsidRPr="00E367DD">
        <w:rPr>
          <w:rFonts w:ascii="Calibri" w:hAnsi="Calibri" w:cs="Calibri"/>
          <w:sz w:val="22"/>
          <w:szCs w:val="22"/>
        </w:rPr>
        <w:t xml:space="preserve">. .PT RINEKA CIPTA. . </w:t>
      </w:r>
    </w:p>
    <w:p w14:paraId="4DBB9069"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Chen, H., Dou, Y., &amp; Xiao, Y. (2022). Understanding the Role of Live Streamers in Live-Streaming ECommerce. </w:t>
      </w:r>
      <w:r w:rsidRPr="00E367DD">
        <w:rPr>
          <w:rFonts w:ascii="Calibri" w:eastAsia="Calibri" w:hAnsi="Calibri" w:cs="Calibri"/>
          <w:i/>
          <w:sz w:val="22"/>
          <w:szCs w:val="22"/>
        </w:rPr>
        <w:t>SSRN Electronic Journal</w:t>
      </w:r>
      <w:r w:rsidRPr="00E367DD">
        <w:rPr>
          <w:rFonts w:ascii="Calibri" w:hAnsi="Calibri" w:cs="Calibri"/>
          <w:sz w:val="22"/>
          <w:szCs w:val="22"/>
        </w:rPr>
        <w:t xml:space="preserve">. https://doi.org/10.2139/ssrn.4141864 </w:t>
      </w:r>
    </w:p>
    <w:p w14:paraId="2F9FED54"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Cortese, J., &amp; Rubin, A. M. (2010). Uses and Gratifications of Television Home Shopping. </w:t>
      </w:r>
      <w:r w:rsidRPr="00E367DD">
        <w:rPr>
          <w:rFonts w:ascii="Calibri" w:eastAsia="Calibri" w:hAnsi="Calibri" w:cs="Calibri"/>
          <w:i/>
          <w:sz w:val="22"/>
          <w:szCs w:val="22"/>
        </w:rPr>
        <w:t xml:space="preserve">Atlantic </w:t>
      </w:r>
    </w:p>
    <w:p w14:paraId="2560798C"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Journal of Communication</w:t>
      </w:r>
      <w:r w:rsidRPr="00E367DD">
        <w:rPr>
          <w:rFonts w:ascii="Calibri" w:hAnsi="Calibri" w:cs="Calibri"/>
          <w:sz w:val="22"/>
          <w:szCs w:val="22"/>
        </w:rPr>
        <w:t xml:space="preserve">, </w:t>
      </w:r>
      <w:r w:rsidRPr="00E367DD">
        <w:rPr>
          <w:rFonts w:ascii="Calibri" w:eastAsia="Calibri" w:hAnsi="Calibri" w:cs="Calibri"/>
          <w:i/>
          <w:sz w:val="22"/>
          <w:szCs w:val="22"/>
        </w:rPr>
        <w:t>18</w:t>
      </w:r>
      <w:r w:rsidRPr="00E367DD">
        <w:rPr>
          <w:rFonts w:ascii="Calibri" w:hAnsi="Calibri" w:cs="Calibri"/>
          <w:sz w:val="22"/>
          <w:szCs w:val="22"/>
        </w:rPr>
        <w:t>(2), 89</w:t>
      </w:r>
      <w:r w:rsidRPr="00E367DD">
        <w:rPr>
          <w:rFonts w:ascii="Calibri" w:eastAsia="Calibri" w:hAnsi="Calibri" w:cs="Calibri"/>
          <w:sz w:val="22"/>
          <w:szCs w:val="22"/>
        </w:rPr>
        <w:t>–</w:t>
      </w:r>
      <w:r w:rsidRPr="00E367DD">
        <w:rPr>
          <w:rFonts w:ascii="Calibri" w:hAnsi="Calibri" w:cs="Calibri"/>
          <w:sz w:val="22"/>
          <w:szCs w:val="22"/>
        </w:rPr>
        <w:t xml:space="preserve">109. https://doi.org/10.1080/15456870903554924 </w:t>
      </w:r>
    </w:p>
    <w:p w14:paraId="0123B506" w14:textId="77777777" w:rsidR="00E367DD" w:rsidRPr="00E367DD" w:rsidRDefault="00E367DD" w:rsidP="00E367DD">
      <w:pPr>
        <w:spacing w:line="249" w:lineRule="auto"/>
        <w:ind w:left="475" w:hanging="490"/>
        <w:jc w:val="both"/>
        <w:rPr>
          <w:rFonts w:ascii="Calibri" w:hAnsi="Calibri" w:cs="Calibri"/>
          <w:sz w:val="22"/>
          <w:szCs w:val="22"/>
        </w:rPr>
      </w:pPr>
      <w:r w:rsidRPr="00E367DD">
        <w:rPr>
          <w:rFonts w:ascii="Calibri" w:hAnsi="Calibri" w:cs="Calibri"/>
          <w:sz w:val="22"/>
          <w:szCs w:val="22"/>
        </w:rPr>
        <w:t>Dittmar, N. (1996)</w:t>
      </w:r>
      <w:r w:rsidRPr="00E367DD">
        <w:rPr>
          <w:rFonts w:ascii="Calibri" w:eastAsia="Calibri" w:hAnsi="Calibri" w:cs="Calibri"/>
          <w:sz w:val="22"/>
          <w:szCs w:val="22"/>
        </w:rPr>
        <w:t xml:space="preserve">. Explorations in ‘Idiolects.’ In R. Sackmann &amp; M. Budde (Eds.), </w:t>
      </w:r>
      <w:r w:rsidRPr="00E367DD">
        <w:rPr>
          <w:rFonts w:ascii="Calibri" w:eastAsia="Calibri" w:hAnsi="Calibri" w:cs="Calibri"/>
          <w:i/>
          <w:sz w:val="22"/>
          <w:szCs w:val="22"/>
        </w:rPr>
        <w:t>Theoretical Linguistics and Grammatical Description: Papers in honour of Hans-Heinrich Lieb</w:t>
      </w:r>
      <w:r w:rsidRPr="00E367DD">
        <w:rPr>
          <w:rFonts w:ascii="Calibri" w:hAnsi="Calibri" w:cs="Calibri"/>
          <w:sz w:val="22"/>
          <w:szCs w:val="22"/>
        </w:rPr>
        <w:t xml:space="preserve"> (pp. 109</w:t>
      </w:r>
      <w:r w:rsidRPr="00E367DD">
        <w:rPr>
          <w:rFonts w:ascii="Calibri" w:eastAsia="Calibri" w:hAnsi="Calibri" w:cs="Calibri"/>
          <w:sz w:val="22"/>
          <w:szCs w:val="22"/>
        </w:rPr>
        <w:t>–</w:t>
      </w:r>
      <w:r w:rsidRPr="00E367DD">
        <w:rPr>
          <w:rFonts w:ascii="Calibri" w:hAnsi="Calibri" w:cs="Calibri"/>
          <w:sz w:val="22"/>
          <w:szCs w:val="22"/>
        </w:rPr>
        <w:t xml:space="preserve">128). John Benjamins Publishing. </w:t>
      </w:r>
    </w:p>
    <w:p w14:paraId="51E44D64"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Duggan, A., &amp; Nicole, S. (2022). </w:t>
      </w:r>
      <w:r w:rsidRPr="00E367DD">
        <w:rPr>
          <w:rFonts w:ascii="Calibri" w:eastAsia="Calibri" w:hAnsi="Calibri" w:cs="Calibri"/>
          <w:i/>
          <w:sz w:val="22"/>
          <w:szCs w:val="22"/>
        </w:rPr>
        <w:t>THE RISE OF SOCIAL COMMERCE: AN EXAMINATION OF CONSUMER PURCHASE MOTIVATION ON TIKTOK</w:t>
      </w:r>
      <w:r w:rsidRPr="00E367DD">
        <w:rPr>
          <w:rFonts w:ascii="Calibri" w:hAnsi="Calibri" w:cs="Calibri"/>
          <w:sz w:val="22"/>
          <w:szCs w:val="22"/>
        </w:rPr>
        <w:t xml:space="preserve"> [The University of Arizona]. http://hdl.handle.net/10150/665749 </w:t>
      </w:r>
    </w:p>
    <w:p w14:paraId="3E79E798"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Dvorak, E. (2018). On Study of Professional Sociolect as Language Universalia. </w:t>
      </w:r>
      <w:r w:rsidRPr="00E367DD">
        <w:rPr>
          <w:rFonts w:ascii="Calibri" w:eastAsia="Calibri" w:hAnsi="Calibri" w:cs="Calibri"/>
          <w:i/>
          <w:sz w:val="22"/>
          <w:szCs w:val="22"/>
        </w:rPr>
        <w:t>SHS Web of Conferences</w:t>
      </w:r>
      <w:r w:rsidRPr="00E367DD">
        <w:rPr>
          <w:rFonts w:ascii="Calibri" w:hAnsi="Calibri" w:cs="Calibri"/>
          <w:sz w:val="22"/>
          <w:szCs w:val="22"/>
        </w:rPr>
        <w:t xml:space="preserve">, </w:t>
      </w:r>
      <w:r w:rsidRPr="00E367DD">
        <w:rPr>
          <w:rFonts w:ascii="Calibri" w:eastAsia="Calibri" w:hAnsi="Calibri" w:cs="Calibri"/>
          <w:i/>
          <w:sz w:val="22"/>
          <w:szCs w:val="22"/>
        </w:rPr>
        <w:t>50</w:t>
      </w:r>
      <w:r w:rsidRPr="00E367DD">
        <w:rPr>
          <w:rFonts w:ascii="Calibri" w:hAnsi="Calibri" w:cs="Calibri"/>
          <w:sz w:val="22"/>
          <w:szCs w:val="22"/>
        </w:rPr>
        <w:t xml:space="preserve">, 01047. https://doi.org/10.1051/shsconf/20185001047 </w:t>
      </w:r>
    </w:p>
    <w:p w14:paraId="65B69798"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Elmirasari, A. H. M., &amp; Rachman, V. (2021, May 29). Jurus Adhitya Caesarico Dongkrak Penjualan Aerostreet. </w:t>
      </w:r>
      <w:r w:rsidRPr="00E367DD">
        <w:rPr>
          <w:rFonts w:ascii="Calibri" w:eastAsia="Calibri" w:hAnsi="Calibri" w:cs="Calibri"/>
          <w:i/>
          <w:sz w:val="22"/>
          <w:szCs w:val="22"/>
        </w:rPr>
        <w:t>Swa.Co.Id</w:t>
      </w:r>
      <w:r w:rsidRPr="00E367DD">
        <w:rPr>
          <w:rFonts w:ascii="Calibri" w:hAnsi="Calibri" w:cs="Calibri"/>
          <w:sz w:val="22"/>
          <w:szCs w:val="22"/>
        </w:rPr>
        <w:t xml:space="preserve">. https://swa.co.id/youngster-inc/entrepreneur-youngsterinc/jurusadhitya-caesarico-dongkrak-penjualan-aerostreet </w:t>
      </w:r>
    </w:p>
    <w:p w14:paraId="28E29935"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Elo, S., Kääriäinen, M., Kanste, O., Pölkki, T., Utriainen, K., &amp; Kyngäs, H. (2014). Qualitative Content Analysis: A Focus on Trustworthiness. </w:t>
      </w:r>
      <w:r w:rsidRPr="00E367DD">
        <w:rPr>
          <w:rFonts w:ascii="Calibri" w:eastAsia="Calibri" w:hAnsi="Calibri" w:cs="Calibri"/>
          <w:i/>
          <w:sz w:val="22"/>
          <w:szCs w:val="22"/>
        </w:rPr>
        <w:t>SAGE Open</w:t>
      </w:r>
      <w:r w:rsidRPr="00E367DD">
        <w:rPr>
          <w:rFonts w:ascii="Calibri" w:hAnsi="Calibri" w:cs="Calibri"/>
          <w:sz w:val="22"/>
          <w:szCs w:val="22"/>
        </w:rPr>
        <w:t xml:space="preserve">, </w:t>
      </w:r>
      <w:r w:rsidRPr="00E367DD">
        <w:rPr>
          <w:rFonts w:ascii="Calibri" w:eastAsia="Calibri" w:hAnsi="Calibri" w:cs="Calibri"/>
          <w:i/>
          <w:sz w:val="22"/>
          <w:szCs w:val="22"/>
        </w:rPr>
        <w:t>4</w:t>
      </w:r>
      <w:r w:rsidRPr="00E367DD">
        <w:rPr>
          <w:rFonts w:ascii="Calibri" w:hAnsi="Calibri" w:cs="Calibri"/>
          <w:sz w:val="22"/>
          <w:szCs w:val="22"/>
        </w:rPr>
        <w:t xml:space="preserve">(1). </w:t>
      </w:r>
    </w:p>
    <w:p w14:paraId="181C4AD1"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https://doi.org/10.1177/2158244014522633 </w:t>
      </w:r>
    </w:p>
    <w:p w14:paraId="106EEF1F"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Haenlein, M., Anadol, E., Farnsworth, T., Hugo, H., Hunichen, J., &amp; Welte, D. (2020). Navigating the New Era of Influencer Marketing: How to be Successful on Instagram, TikTok, &amp; Co. </w:t>
      </w:r>
      <w:r w:rsidRPr="00E367DD">
        <w:rPr>
          <w:rFonts w:ascii="Calibri" w:eastAsia="Calibri" w:hAnsi="Calibri" w:cs="Calibri"/>
          <w:i/>
          <w:sz w:val="22"/>
          <w:szCs w:val="22"/>
        </w:rPr>
        <w:t xml:space="preserve">California </w:t>
      </w:r>
    </w:p>
    <w:p w14:paraId="0AD83EC6"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Management Review</w:t>
      </w:r>
      <w:r w:rsidRPr="00E367DD">
        <w:rPr>
          <w:rFonts w:ascii="Calibri" w:hAnsi="Calibri" w:cs="Calibri"/>
          <w:sz w:val="22"/>
          <w:szCs w:val="22"/>
        </w:rPr>
        <w:t xml:space="preserve">, </w:t>
      </w:r>
      <w:r w:rsidRPr="00E367DD">
        <w:rPr>
          <w:rFonts w:ascii="Calibri" w:eastAsia="Calibri" w:hAnsi="Calibri" w:cs="Calibri"/>
          <w:i/>
          <w:sz w:val="22"/>
          <w:szCs w:val="22"/>
        </w:rPr>
        <w:t>63</w:t>
      </w:r>
      <w:r w:rsidRPr="00E367DD">
        <w:rPr>
          <w:rFonts w:ascii="Calibri" w:hAnsi="Calibri" w:cs="Calibri"/>
          <w:sz w:val="22"/>
          <w:szCs w:val="22"/>
        </w:rPr>
        <w:t>(1), 5</w:t>
      </w:r>
      <w:r w:rsidRPr="00E367DD">
        <w:rPr>
          <w:rFonts w:ascii="Calibri" w:eastAsia="Calibri" w:hAnsi="Calibri" w:cs="Calibri"/>
          <w:sz w:val="22"/>
          <w:szCs w:val="22"/>
        </w:rPr>
        <w:t>–</w:t>
      </w:r>
      <w:r w:rsidRPr="00E367DD">
        <w:rPr>
          <w:rFonts w:ascii="Calibri" w:hAnsi="Calibri" w:cs="Calibri"/>
          <w:sz w:val="22"/>
          <w:szCs w:val="22"/>
        </w:rPr>
        <w:t xml:space="preserve">25. https://doi.org/10.1177/0008125620958166 </w:t>
      </w:r>
    </w:p>
    <w:p w14:paraId="24ECE27C"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Halim, A., &amp; Tyra, M. J. (2021). PENGARUH ONLINE CONSUMER REVIEW DAN INFLUENCER TERHADAP </w:t>
      </w:r>
    </w:p>
    <w:p w14:paraId="2EB97D80"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KEPUTUSAN PEMBELIAN PRODUK DI MARKETPLACE SHOPEE. </w:t>
      </w:r>
      <w:r w:rsidRPr="00E367DD">
        <w:rPr>
          <w:rFonts w:ascii="Calibri" w:eastAsia="Calibri" w:hAnsi="Calibri" w:cs="Calibri"/>
          <w:i/>
          <w:sz w:val="22"/>
          <w:szCs w:val="22"/>
        </w:rPr>
        <w:t xml:space="preserve">Buletin Ekonomi: Manajemen, </w:t>
      </w:r>
    </w:p>
    <w:p w14:paraId="1D1051CC"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Ekonomi Pembangunan, Akuntansi</w:t>
      </w:r>
      <w:r w:rsidRPr="00E367DD">
        <w:rPr>
          <w:rFonts w:ascii="Calibri" w:hAnsi="Calibri" w:cs="Calibri"/>
          <w:sz w:val="22"/>
          <w:szCs w:val="22"/>
        </w:rPr>
        <w:t xml:space="preserve">, </w:t>
      </w:r>
      <w:r w:rsidRPr="00E367DD">
        <w:rPr>
          <w:rFonts w:ascii="Calibri" w:eastAsia="Calibri" w:hAnsi="Calibri" w:cs="Calibri"/>
          <w:i/>
          <w:sz w:val="22"/>
          <w:szCs w:val="22"/>
        </w:rPr>
        <w:t>18</w:t>
      </w:r>
      <w:r w:rsidRPr="00E367DD">
        <w:rPr>
          <w:rFonts w:ascii="Calibri" w:hAnsi="Calibri" w:cs="Calibri"/>
          <w:sz w:val="22"/>
          <w:szCs w:val="22"/>
        </w:rPr>
        <w:t xml:space="preserve">(1), 99. https://doi.org/10.31315/be.v18i1.5630 </w:t>
      </w:r>
    </w:p>
    <w:p w14:paraId="161EBEBA" w14:textId="77777777" w:rsidR="00E367DD" w:rsidRPr="00E367DD" w:rsidRDefault="00E367DD" w:rsidP="00E367DD">
      <w:pPr>
        <w:spacing w:after="1" w:line="238" w:lineRule="auto"/>
        <w:ind w:left="475" w:hanging="490"/>
        <w:jc w:val="both"/>
        <w:rPr>
          <w:rFonts w:ascii="Calibri" w:hAnsi="Calibri" w:cs="Calibri"/>
          <w:sz w:val="22"/>
          <w:szCs w:val="22"/>
        </w:rPr>
      </w:pPr>
      <w:r w:rsidRPr="00E367DD">
        <w:rPr>
          <w:rFonts w:ascii="Calibri" w:hAnsi="Calibri" w:cs="Calibri"/>
          <w:sz w:val="22"/>
          <w:szCs w:val="22"/>
        </w:rPr>
        <w:t>Haotian, S., &amp; Yubin, W. (2023). An Eye Tracking Study of Live E-</w:t>
      </w:r>
      <w:r w:rsidRPr="00E367DD">
        <w:rPr>
          <w:rFonts w:ascii="Calibri" w:eastAsia="Calibri" w:hAnsi="Calibri" w:cs="Calibri"/>
          <w:sz w:val="22"/>
          <w:szCs w:val="22"/>
        </w:rPr>
        <w:t xml:space="preserve">commerce: The Impact of Hosts’ Channel Background on Consumers’ Attention to Products. </w:t>
      </w:r>
      <w:r w:rsidRPr="00E367DD">
        <w:rPr>
          <w:rFonts w:ascii="Calibri" w:eastAsia="Calibri" w:hAnsi="Calibri" w:cs="Calibri"/>
          <w:i/>
          <w:sz w:val="22"/>
          <w:szCs w:val="22"/>
        </w:rPr>
        <w:t xml:space="preserve">Academic Journal of Business &amp; </w:t>
      </w:r>
    </w:p>
    <w:p w14:paraId="3487A137"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Management</w:t>
      </w:r>
      <w:r w:rsidRPr="00E367DD">
        <w:rPr>
          <w:rFonts w:ascii="Calibri" w:hAnsi="Calibri" w:cs="Calibri"/>
          <w:sz w:val="22"/>
          <w:szCs w:val="22"/>
        </w:rPr>
        <w:t xml:space="preserve">, </w:t>
      </w:r>
      <w:r w:rsidRPr="00E367DD">
        <w:rPr>
          <w:rFonts w:ascii="Calibri" w:eastAsia="Calibri" w:hAnsi="Calibri" w:cs="Calibri"/>
          <w:i/>
          <w:sz w:val="22"/>
          <w:szCs w:val="22"/>
        </w:rPr>
        <w:t>5</w:t>
      </w:r>
      <w:r w:rsidRPr="00E367DD">
        <w:rPr>
          <w:rFonts w:ascii="Calibri" w:hAnsi="Calibri" w:cs="Calibri"/>
          <w:sz w:val="22"/>
          <w:szCs w:val="22"/>
        </w:rPr>
        <w:t>, 138</w:t>
      </w:r>
      <w:r w:rsidRPr="00E367DD">
        <w:rPr>
          <w:rFonts w:ascii="Calibri" w:eastAsia="Calibri" w:hAnsi="Calibri" w:cs="Calibri"/>
          <w:sz w:val="22"/>
          <w:szCs w:val="22"/>
        </w:rPr>
        <w:t>–</w:t>
      </w:r>
      <w:r w:rsidRPr="00E367DD">
        <w:rPr>
          <w:rFonts w:ascii="Calibri" w:hAnsi="Calibri" w:cs="Calibri"/>
          <w:sz w:val="22"/>
          <w:szCs w:val="22"/>
        </w:rPr>
        <w:t xml:space="preserve">142. https://doi.org/10.25236/AJBM.2023.050120 </w:t>
      </w:r>
    </w:p>
    <w:p w14:paraId="524084EF"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Hayes, D. (2003, February 3). From a monkey to a million. </w:t>
      </w:r>
      <w:r w:rsidRPr="00E367DD">
        <w:rPr>
          <w:rFonts w:ascii="Calibri" w:eastAsia="Calibri" w:hAnsi="Calibri" w:cs="Calibri"/>
          <w:i/>
          <w:sz w:val="22"/>
          <w:szCs w:val="22"/>
        </w:rPr>
        <w:t>Www.Guardian.Com</w:t>
      </w:r>
      <w:r w:rsidRPr="00E367DD">
        <w:rPr>
          <w:rFonts w:ascii="Calibri" w:hAnsi="Calibri" w:cs="Calibri"/>
          <w:sz w:val="22"/>
          <w:szCs w:val="22"/>
        </w:rPr>
        <w:t xml:space="preserve">. </w:t>
      </w:r>
    </w:p>
    <w:p w14:paraId="1038A962"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https://www.theguardian.com/media/2003/feb/03/mondaymediasection.itvdigital </w:t>
      </w:r>
    </w:p>
    <w:p w14:paraId="68C6BEEF"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lastRenderedPageBreak/>
        <w:t xml:space="preserve">Hsieh, H. F., &amp; Shannon, S. E. (2005). Three approaches to qualitative content analysis. </w:t>
      </w:r>
      <w:r w:rsidRPr="00E367DD">
        <w:rPr>
          <w:rFonts w:ascii="Calibri" w:eastAsia="Calibri" w:hAnsi="Calibri" w:cs="Calibri"/>
          <w:i/>
          <w:sz w:val="22"/>
          <w:szCs w:val="22"/>
        </w:rPr>
        <w:t>Qualitative Health Research</w:t>
      </w:r>
      <w:r w:rsidRPr="00E367DD">
        <w:rPr>
          <w:rFonts w:ascii="Calibri" w:hAnsi="Calibri" w:cs="Calibri"/>
          <w:sz w:val="22"/>
          <w:szCs w:val="22"/>
        </w:rPr>
        <w:t xml:space="preserve">, </w:t>
      </w:r>
      <w:r w:rsidRPr="00E367DD">
        <w:rPr>
          <w:rFonts w:ascii="Calibri" w:eastAsia="Calibri" w:hAnsi="Calibri" w:cs="Calibri"/>
          <w:i/>
          <w:sz w:val="22"/>
          <w:szCs w:val="22"/>
        </w:rPr>
        <w:t>15</w:t>
      </w:r>
      <w:r w:rsidRPr="00E367DD">
        <w:rPr>
          <w:rFonts w:ascii="Calibri" w:hAnsi="Calibri" w:cs="Calibri"/>
          <w:sz w:val="22"/>
          <w:szCs w:val="22"/>
        </w:rPr>
        <w:t xml:space="preserve">(9). https://doi.org/10.1177/1049732305276687 </w:t>
      </w:r>
    </w:p>
    <w:p w14:paraId="2B97C8B7"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Huang, Z., &amp; Benyoucef, M. (2013). From e-commerce to social commerce: A close look at design features. </w:t>
      </w:r>
      <w:r w:rsidRPr="00E367DD">
        <w:rPr>
          <w:rFonts w:ascii="Calibri" w:eastAsia="Calibri" w:hAnsi="Calibri" w:cs="Calibri"/>
          <w:i/>
          <w:sz w:val="22"/>
          <w:szCs w:val="22"/>
        </w:rPr>
        <w:t>Electronic Commerce Research and Applications</w:t>
      </w:r>
      <w:r w:rsidRPr="00E367DD">
        <w:rPr>
          <w:rFonts w:ascii="Calibri" w:hAnsi="Calibri" w:cs="Calibri"/>
          <w:sz w:val="22"/>
          <w:szCs w:val="22"/>
        </w:rPr>
        <w:t xml:space="preserve">, </w:t>
      </w:r>
      <w:r w:rsidRPr="00E367DD">
        <w:rPr>
          <w:rFonts w:ascii="Calibri" w:eastAsia="Calibri" w:hAnsi="Calibri" w:cs="Calibri"/>
          <w:i/>
          <w:sz w:val="22"/>
          <w:szCs w:val="22"/>
        </w:rPr>
        <w:t>12</w:t>
      </w:r>
      <w:r w:rsidRPr="00E367DD">
        <w:rPr>
          <w:rFonts w:ascii="Calibri" w:hAnsi="Calibri" w:cs="Calibri"/>
          <w:sz w:val="22"/>
          <w:szCs w:val="22"/>
        </w:rPr>
        <w:t>(4), 246</w:t>
      </w:r>
      <w:r w:rsidRPr="00E367DD">
        <w:rPr>
          <w:rFonts w:ascii="Calibri" w:eastAsia="Calibri" w:hAnsi="Calibri" w:cs="Calibri"/>
          <w:sz w:val="22"/>
          <w:szCs w:val="22"/>
        </w:rPr>
        <w:t>–</w:t>
      </w:r>
      <w:r w:rsidRPr="00E367DD">
        <w:rPr>
          <w:rFonts w:ascii="Calibri" w:hAnsi="Calibri" w:cs="Calibri"/>
          <w:sz w:val="22"/>
          <w:szCs w:val="22"/>
        </w:rPr>
        <w:t xml:space="preserve">259. https://doi.org/10.1016/j.elerap.2012.12.003 </w:t>
      </w:r>
    </w:p>
    <w:p w14:paraId="78FBF1EA" w14:textId="77777777" w:rsidR="00E367DD" w:rsidRPr="00E367DD" w:rsidRDefault="00E367DD" w:rsidP="00E367DD">
      <w:pPr>
        <w:spacing w:line="249" w:lineRule="auto"/>
        <w:ind w:left="475" w:hanging="490"/>
        <w:jc w:val="both"/>
        <w:rPr>
          <w:rFonts w:ascii="Calibri" w:hAnsi="Calibri" w:cs="Calibri"/>
          <w:sz w:val="22"/>
          <w:szCs w:val="22"/>
        </w:rPr>
      </w:pPr>
      <w:r w:rsidRPr="00E367DD">
        <w:rPr>
          <w:rFonts w:ascii="Calibri" w:hAnsi="Calibri" w:cs="Calibri"/>
          <w:sz w:val="22"/>
          <w:szCs w:val="22"/>
        </w:rPr>
        <w:t xml:space="preserve">Jaffe, C. I. (2016). </w:t>
      </w:r>
      <w:r w:rsidRPr="00E367DD">
        <w:rPr>
          <w:rFonts w:ascii="Calibri" w:eastAsia="Calibri" w:hAnsi="Calibri" w:cs="Calibri"/>
          <w:i/>
          <w:sz w:val="22"/>
          <w:szCs w:val="22"/>
        </w:rPr>
        <w:t>Public Speaking: Concepts and Skills for a Diverse Society, Eighth Edition</w:t>
      </w:r>
      <w:r w:rsidRPr="00E367DD">
        <w:rPr>
          <w:rFonts w:ascii="Calibri" w:hAnsi="Calibri" w:cs="Calibri"/>
          <w:sz w:val="22"/>
          <w:szCs w:val="22"/>
        </w:rPr>
        <w:t xml:space="preserve"> (8th ed.). Cengage Learning. www.cengage.com </w:t>
      </w:r>
    </w:p>
    <w:p w14:paraId="747C8B40"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Jati, A. S. (2020, October 14). TikTok Makin Disukai Anak Muda, Ini Alasannya. </w:t>
      </w:r>
      <w:r w:rsidRPr="00E367DD">
        <w:rPr>
          <w:rFonts w:ascii="Calibri" w:eastAsia="Calibri" w:hAnsi="Calibri" w:cs="Calibri"/>
          <w:i/>
          <w:sz w:val="22"/>
          <w:szCs w:val="22"/>
        </w:rPr>
        <w:t>Inet.Detik.Com</w:t>
      </w:r>
      <w:r w:rsidRPr="00E367DD">
        <w:rPr>
          <w:rFonts w:ascii="Calibri" w:hAnsi="Calibri" w:cs="Calibri"/>
          <w:sz w:val="22"/>
          <w:szCs w:val="22"/>
        </w:rPr>
        <w:t xml:space="preserve">. </w:t>
      </w:r>
    </w:p>
    <w:p w14:paraId="68F71028"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https://inet.detik.com/cyberlife/d-5133039/tiktok-makin-disukai-anak-muda-ini-alasannya </w:t>
      </w:r>
    </w:p>
    <w:p w14:paraId="6933BCC0"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Kemp, S. (2023). </w:t>
      </w:r>
      <w:r w:rsidRPr="00E367DD">
        <w:rPr>
          <w:rFonts w:ascii="Calibri" w:eastAsia="Calibri" w:hAnsi="Calibri" w:cs="Calibri"/>
          <w:i/>
          <w:sz w:val="22"/>
          <w:szCs w:val="22"/>
        </w:rPr>
        <w:t>Digital 2023: Indonesia</w:t>
      </w:r>
      <w:r w:rsidRPr="00E367DD">
        <w:rPr>
          <w:rFonts w:ascii="Calibri" w:hAnsi="Calibri" w:cs="Calibri"/>
          <w:sz w:val="22"/>
          <w:szCs w:val="22"/>
        </w:rPr>
        <w:t xml:space="preserve">. Datareportal.Com. https://datareportal.com/reports/digital2023-indonesia </w:t>
      </w:r>
    </w:p>
    <w:p w14:paraId="00DCF303"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LI, G., Nan, G., Wang, R., &amp; Tayi, G. K. (2022). Retail Strategies for E-tailers in Live Streaming Commerce: When Does an Influencer Marketing Channel Work? </w:t>
      </w:r>
      <w:r w:rsidRPr="00E367DD">
        <w:rPr>
          <w:rFonts w:ascii="Calibri" w:eastAsia="Calibri" w:hAnsi="Calibri" w:cs="Calibri"/>
          <w:i/>
          <w:sz w:val="22"/>
          <w:szCs w:val="22"/>
        </w:rPr>
        <w:t>SSRN Electronic Journal</w:t>
      </w:r>
      <w:r w:rsidRPr="00E367DD">
        <w:rPr>
          <w:rFonts w:ascii="Calibri" w:hAnsi="Calibri" w:cs="Calibri"/>
          <w:sz w:val="22"/>
          <w:szCs w:val="22"/>
        </w:rPr>
        <w:t xml:space="preserve">. </w:t>
      </w:r>
    </w:p>
    <w:p w14:paraId="376364BA"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https://doi.org/10.2139/ssrn.3998665 </w:t>
      </w:r>
    </w:p>
    <w:p w14:paraId="7B1BF49B"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Lin, Q., &amp; Nuangjamnong, C. (2022). Exploring the Role of Influencers and Customer Engagement on Purchase Intention in TikTok Live Streaming Shopping. </w:t>
      </w:r>
      <w:r w:rsidRPr="00E367DD">
        <w:rPr>
          <w:rFonts w:ascii="Calibri" w:eastAsia="Calibri" w:hAnsi="Calibri" w:cs="Calibri"/>
          <w:i/>
          <w:sz w:val="22"/>
          <w:szCs w:val="22"/>
        </w:rPr>
        <w:t>SSRN Electronic Journal</w:t>
      </w:r>
      <w:r w:rsidRPr="00E367DD">
        <w:rPr>
          <w:rFonts w:ascii="Calibri" w:hAnsi="Calibri" w:cs="Calibri"/>
          <w:sz w:val="22"/>
          <w:szCs w:val="22"/>
        </w:rPr>
        <w:t xml:space="preserve">. https://doi.org/10.2139/ssrn.4295862 </w:t>
      </w:r>
    </w:p>
    <w:p w14:paraId="7A83DD16"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Louwerse, M. M. (2004). Semantic Variation in Idiolect and Sociolect: Corpus Linguistic Evidence from Literary Texts. </w:t>
      </w:r>
      <w:r w:rsidRPr="00E367DD">
        <w:rPr>
          <w:rFonts w:ascii="Calibri" w:eastAsia="Calibri" w:hAnsi="Calibri" w:cs="Calibri"/>
          <w:i/>
          <w:sz w:val="22"/>
          <w:szCs w:val="22"/>
        </w:rPr>
        <w:t>Computers and the Humanities</w:t>
      </w:r>
      <w:r w:rsidRPr="00E367DD">
        <w:rPr>
          <w:rFonts w:ascii="Calibri" w:hAnsi="Calibri" w:cs="Calibri"/>
          <w:sz w:val="22"/>
          <w:szCs w:val="22"/>
        </w:rPr>
        <w:t xml:space="preserve">, </w:t>
      </w:r>
      <w:r w:rsidRPr="00E367DD">
        <w:rPr>
          <w:rFonts w:ascii="Calibri" w:eastAsia="Calibri" w:hAnsi="Calibri" w:cs="Calibri"/>
          <w:i/>
          <w:sz w:val="22"/>
          <w:szCs w:val="22"/>
        </w:rPr>
        <w:t>38</w:t>
      </w:r>
      <w:r w:rsidRPr="00E367DD">
        <w:rPr>
          <w:rFonts w:ascii="Calibri" w:hAnsi="Calibri" w:cs="Calibri"/>
          <w:sz w:val="22"/>
          <w:szCs w:val="22"/>
        </w:rPr>
        <w:t>(2), 207</w:t>
      </w:r>
      <w:r w:rsidRPr="00E367DD">
        <w:rPr>
          <w:rFonts w:ascii="Calibri" w:eastAsia="Calibri" w:hAnsi="Calibri" w:cs="Calibri"/>
          <w:sz w:val="22"/>
          <w:szCs w:val="22"/>
        </w:rPr>
        <w:t>–</w:t>
      </w:r>
      <w:r w:rsidRPr="00E367DD">
        <w:rPr>
          <w:rFonts w:ascii="Calibri" w:hAnsi="Calibri" w:cs="Calibri"/>
          <w:sz w:val="22"/>
          <w:szCs w:val="22"/>
        </w:rPr>
        <w:t xml:space="preserve">221. </w:t>
      </w:r>
    </w:p>
    <w:p w14:paraId="2FC57BB8"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https://doi.org/10.1023/B:CHUM.0000031185.88395.b1 </w:t>
      </w:r>
    </w:p>
    <w:p w14:paraId="46281CE2" w14:textId="77777777" w:rsidR="00E367DD" w:rsidRPr="00E367DD" w:rsidRDefault="00E367DD" w:rsidP="00E367DD">
      <w:pPr>
        <w:spacing w:after="1" w:line="238" w:lineRule="auto"/>
        <w:ind w:left="475" w:hanging="490"/>
        <w:jc w:val="both"/>
        <w:rPr>
          <w:rFonts w:ascii="Calibri" w:hAnsi="Calibri" w:cs="Calibri"/>
          <w:sz w:val="22"/>
          <w:szCs w:val="22"/>
        </w:rPr>
      </w:pPr>
      <w:r w:rsidRPr="00E367DD">
        <w:rPr>
          <w:rFonts w:ascii="Calibri" w:eastAsia="Calibri" w:hAnsi="Calibri" w:cs="Calibri"/>
          <w:sz w:val="22"/>
          <w:szCs w:val="22"/>
        </w:rPr>
        <w:t xml:space="preserve">Lu, B., &amp; Chen, Z. (2021). Live streaming commerce and consumers’ purchase intention: An </w:t>
      </w:r>
      <w:r w:rsidRPr="00E367DD">
        <w:rPr>
          <w:rFonts w:ascii="Calibri" w:hAnsi="Calibri" w:cs="Calibri"/>
          <w:sz w:val="22"/>
          <w:szCs w:val="22"/>
        </w:rPr>
        <w:t xml:space="preserve">uncertainty reduction perspective. </w:t>
      </w:r>
      <w:r w:rsidRPr="00E367DD">
        <w:rPr>
          <w:rFonts w:ascii="Calibri" w:eastAsia="Calibri" w:hAnsi="Calibri" w:cs="Calibri"/>
          <w:i/>
          <w:sz w:val="22"/>
          <w:szCs w:val="22"/>
        </w:rPr>
        <w:t>Information &amp; Management</w:t>
      </w:r>
      <w:r w:rsidRPr="00E367DD">
        <w:rPr>
          <w:rFonts w:ascii="Calibri" w:hAnsi="Calibri" w:cs="Calibri"/>
          <w:sz w:val="22"/>
          <w:szCs w:val="22"/>
        </w:rPr>
        <w:t xml:space="preserve">, </w:t>
      </w:r>
      <w:r w:rsidRPr="00E367DD">
        <w:rPr>
          <w:rFonts w:ascii="Calibri" w:eastAsia="Calibri" w:hAnsi="Calibri" w:cs="Calibri"/>
          <w:i/>
          <w:sz w:val="22"/>
          <w:szCs w:val="22"/>
        </w:rPr>
        <w:t>58</w:t>
      </w:r>
      <w:r w:rsidRPr="00E367DD">
        <w:rPr>
          <w:rFonts w:ascii="Calibri" w:hAnsi="Calibri" w:cs="Calibri"/>
          <w:sz w:val="22"/>
          <w:szCs w:val="22"/>
        </w:rPr>
        <w:t xml:space="preserve">(7), 103509. </w:t>
      </w:r>
    </w:p>
    <w:p w14:paraId="0BE8D82E"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https://doi.org/10.1016/J.IM.2021.103509 </w:t>
      </w:r>
    </w:p>
    <w:p w14:paraId="7EBA1A86" w14:textId="77777777" w:rsidR="00E367DD" w:rsidRPr="00E367DD" w:rsidRDefault="00E367DD" w:rsidP="00E367DD">
      <w:pPr>
        <w:spacing w:after="1" w:line="238" w:lineRule="auto"/>
        <w:ind w:left="475" w:hanging="490"/>
        <w:jc w:val="both"/>
        <w:rPr>
          <w:rFonts w:ascii="Calibri" w:hAnsi="Calibri" w:cs="Calibri"/>
          <w:sz w:val="22"/>
          <w:szCs w:val="22"/>
        </w:rPr>
      </w:pPr>
      <w:r w:rsidRPr="00E367DD">
        <w:rPr>
          <w:rFonts w:ascii="Calibri" w:eastAsia="Calibri" w:hAnsi="Calibri" w:cs="Calibri"/>
          <w:sz w:val="22"/>
          <w:szCs w:val="22"/>
        </w:rPr>
        <w:t xml:space="preserve">Lu, B., Wu, D., &amp; Zhao, R. (2022). An investigation into factors affecting individuals’ gifting intention in </w:t>
      </w:r>
      <w:r w:rsidRPr="00E367DD">
        <w:rPr>
          <w:rFonts w:ascii="Calibri" w:hAnsi="Calibri" w:cs="Calibri"/>
          <w:sz w:val="22"/>
          <w:szCs w:val="22"/>
        </w:rPr>
        <w:t>live streaming: a streamer</w:t>
      </w:r>
      <w:r w:rsidRPr="00E367DD">
        <w:rPr>
          <w:rFonts w:ascii="Calibri" w:eastAsia="Calibri" w:hAnsi="Calibri" w:cs="Calibri"/>
          <w:sz w:val="22"/>
          <w:szCs w:val="22"/>
        </w:rPr>
        <w:t>–</w:t>
      </w:r>
      <w:r w:rsidRPr="00E367DD">
        <w:rPr>
          <w:rFonts w:ascii="Calibri" w:hAnsi="Calibri" w:cs="Calibri"/>
          <w:sz w:val="22"/>
          <w:szCs w:val="22"/>
        </w:rPr>
        <w:t xml:space="preserve">content perspective. </w:t>
      </w:r>
      <w:r w:rsidRPr="00E367DD">
        <w:rPr>
          <w:rFonts w:ascii="Calibri" w:eastAsia="Calibri" w:hAnsi="Calibri" w:cs="Calibri"/>
          <w:i/>
          <w:sz w:val="22"/>
          <w:szCs w:val="22"/>
        </w:rPr>
        <w:t>Journal of Electronic Business &amp; Digital Economics</w:t>
      </w:r>
      <w:r w:rsidRPr="00E367DD">
        <w:rPr>
          <w:rFonts w:ascii="Calibri" w:hAnsi="Calibri" w:cs="Calibri"/>
          <w:sz w:val="22"/>
          <w:szCs w:val="22"/>
        </w:rPr>
        <w:t xml:space="preserve">, </w:t>
      </w:r>
      <w:r w:rsidRPr="00E367DD">
        <w:rPr>
          <w:rFonts w:ascii="Calibri" w:eastAsia="Calibri" w:hAnsi="Calibri" w:cs="Calibri"/>
          <w:i/>
          <w:sz w:val="22"/>
          <w:szCs w:val="22"/>
        </w:rPr>
        <w:t>1</w:t>
      </w:r>
      <w:r w:rsidRPr="00E367DD">
        <w:rPr>
          <w:rFonts w:ascii="Calibri" w:hAnsi="Calibri" w:cs="Calibri"/>
          <w:sz w:val="22"/>
          <w:szCs w:val="22"/>
        </w:rPr>
        <w:t>(1/2), 90</w:t>
      </w:r>
      <w:r w:rsidRPr="00E367DD">
        <w:rPr>
          <w:rFonts w:ascii="Calibri" w:eastAsia="Calibri" w:hAnsi="Calibri" w:cs="Calibri"/>
          <w:sz w:val="22"/>
          <w:szCs w:val="22"/>
        </w:rPr>
        <w:t>–</w:t>
      </w:r>
      <w:r w:rsidRPr="00E367DD">
        <w:rPr>
          <w:rFonts w:ascii="Calibri" w:hAnsi="Calibri" w:cs="Calibri"/>
          <w:sz w:val="22"/>
          <w:szCs w:val="22"/>
        </w:rPr>
        <w:t xml:space="preserve">110. https://doi.org/10.1108/JEBDE-04-2022-0007 </w:t>
      </w:r>
    </w:p>
    <w:p w14:paraId="44988143"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Luo, H., Cheng, S., Zhou, W., Yu, S., &amp; Lin, X. (2021). A Study on The Impact of Linguistic Persuasive Styles on the Sales Volume of Live Streaming Products in Social E-commerce Environment. </w:t>
      </w:r>
    </w:p>
    <w:p w14:paraId="29A3C779"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Mathematics</w:t>
      </w:r>
      <w:r w:rsidRPr="00E367DD">
        <w:rPr>
          <w:rFonts w:ascii="Calibri" w:hAnsi="Calibri" w:cs="Calibri"/>
          <w:sz w:val="22"/>
          <w:szCs w:val="22"/>
        </w:rPr>
        <w:t xml:space="preserve">, </w:t>
      </w:r>
      <w:r w:rsidRPr="00E367DD">
        <w:rPr>
          <w:rFonts w:ascii="Calibri" w:eastAsia="Calibri" w:hAnsi="Calibri" w:cs="Calibri"/>
          <w:i/>
          <w:sz w:val="22"/>
          <w:szCs w:val="22"/>
        </w:rPr>
        <w:t>9</w:t>
      </w:r>
      <w:r w:rsidRPr="00E367DD">
        <w:rPr>
          <w:rFonts w:ascii="Calibri" w:hAnsi="Calibri" w:cs="Calibri"/>
          <w:sz w:val="22"/>
          <w:szCs w:val="22"/>
        </w:rPr>
        <w:t xml:space="preserve">(13). https://doi.org/10.3390/math9131576 </w:t>
      </w:r>
    </w:p>
    <w:p w14:paraId="0B284886"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Lv, Z., Jin, Y., &amp; Huang, J. (2018). How do sellers use live chat to influence consumer purchase decision in China? </w:t>
      </w:r>
      <w:r w:rsidRPr="00E367DD">
        <w:rPr>
          <w:rFonts w:ascii="Calibri" w:eastAsia="Calibri" w:hAnsi="Calibri" w:cs="Calibri"/>
          <w:i/>
          <w:sz w:val="22"/>
          <w:szCs w:val="22"/>
        </w:rPr>
        <w:t>Electronic Commerce Research and Applications</w:t>
      </w:r>
      <w:r w:rsidRPr="00E367DD">
        <w:rPr>
          <w:rFonts w:ascii="Calibri" w:hAnsi="Calibri" w:cs="Calibri"/>
          <w:sz w:val="22"/>
          <w:szCs w:val="22"/>
        </w:rPr>
        <w:t xml:space="preserve">, </w:t>
      </w:r>
      <w:r w:rsidRPr="00E367DD">
        <w:rPr>
          <w:rFonts w:ascii="Calibri" w:eastAsia="Calibri" w:hAnsi="Calibri" w:cs="Calibri"/>
          <w:i/>
          <w:sz w:val="22"/>
          <w:szCs w:val="22"/>
        </w:rPr>
        <w:t>28</w:t>
      </w:r>
      <w:r w:rsidRPr="00E367DD">
        <w:rPr>
          <w:rFonts w:ascii="Calibri" w:hAnsi="Calibri" w:cs="Calibri"/>
          <w:sz w:val="22"/>
          <w:szCs w:val="22"/>
        </w:rPr>
        <w:t>, 102</w:t>
      </w:r>
      <w:r w:rsidRPr="00E367DD">
        <w:rPr>
          <w:rFonts w:ascii="Calibri" w:eastAsia="Calibri" w:hAnsi="Calibri" w:cs="Calibri"/>
          <w:sz w:val="22"/>
          <w:szCs w:val="22"/>
        </w:rPr>
        <w:t>–</w:t>
      </w:r>
      <w:r w:rsidRPr="00E367DD">
        <w:rPr>
          <w:rFonts w:ascii="Calibri" w:hAnsi="Calibri" w:cs="Calibri"/>
          <w:sz w:val="22"/>
          <w:szCs w:val="22"/>
        </w:rPr>
        <w:t xml:space="preserve">113. https://doi.org/10.1016/J.ELERAP.2018.01.003 </w:t>
      </w:r>
    </w:p>
    <w:p w14:paraId="2372EECF"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Mahmud, M., &amp; Wirabhakti, A. (2023). Model Variasi Bahasa Pada Transaksi E- Commerce; Suatu Kajian Sosiolinguistik. </w:t>
      </w:r>
      <w:r w:rsidRPr="00E367DD">
        <w:rPr>
          <w:rFonts w:ascii="Calibri" w:eastAsia="Calibri" w:hAnsi="Calibri" w:cs="Calibri"/>
          <w:i/>
          <w:sz w:val="22"/>
          <w:szCs w:val="22"/>
        </w:rPr>
        <w:t>Action Research Literate</w:t>
      </w:r>
      <w:r w:rsidRPr="00E367DD">
        <w:rPr>
          <w:rFonts w:ascii="Calibri" w:hAnsi="Calibri" w:cs="Calibri"/>
          <w:sz w:val="22"/>
          <w:szCs w:val="22"/>
        </w:rPr>
        <w:t xml:space="preserve">, </w:t>
      </w:r>
      <w:r w:rsidRPr="00E367DD">
        <w:rPr>
          <w:rFonts w:ascii="Calibri" w:eastAsia="Calibri" w:hAnsi="Calibri" w:cs="Calibri"/>
          <w:i/>
          <w:sz w:val="22"/>
          <w:szCs w:val="22"/>
        </w:rPr>
        <w:t>7</w:t>
      </w:r>
      <w:r w:rsidRPr="00E367DD">
        <w:rPr>
          <w:rFonts w:ascii="Calibri" w:hAnsi="Calibri" w:cs="Calibri"/>
          <w:sz w:val="22"/>
          <w:szCs w:val="22"/>
        </w:rPr>
        <w:t>(2), 1</w:t>
      </w:r>
      <w:r w:rsidRPr="00E367DD">
        <w:rPr>
          <w:rFonts w:ascii="Calibri" w:eastAsia="Calibri" w:hAnsi="Calibri" w:cs="Calibri"/>
          <w:sz w:val="22"/>
          <w:szCs w:val="22"/>
        </w:rPr>
        <w:t>–</w:t>
      </w:r>
      <w:r w:rsidRPr="00E367DD">
        <w:rPr>
          <w:rFonts w:ascii="Calibri" w:hAnsi="Calibri" w:cs="Calibri"/>
          <w:sz w:val="22"/>
          <w:szCs w:val="22"/>
        </w:rPr>
        <w:t xml:space="preserve">5. https://doi.org/10.46799/arl.v7i2.146 </w:t>
      </w:r>
    </w:p>
    <w:p w14:paraId="0B404289"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Makmun, M. (2021, June 9). Aerostreet Bertahan dengan Penjualan Online dan Model Sepatu Selera Anak Muda. </w:t>
      </w:r>
      <w:r w:rsidRPr="00E367DD">
        <w:rPr>
          <w:rFonts w:ascii="Calibri" w:eastAsia="Calibri" w:hAnsi="Calibri" w:cs="Calibri"/>
          <w:i/>
          <w:sz w:val="22"/>
          <w:szCs w:val="22"/>
        </w:rPr>
        <w:t>Investor.Id</w:t>
      </w:r>
      <w:r w:rsidRPr="00E367DD">
        <w:rPr>
          <w:rFonts w:ascii="Calibri" w:hAnsi="Calibri" w:cs="Calibri"/>
          <w:sz w:val="22"/>
          <w:szCs w:val="22"/>
        </w:rPr>
        <w:t xml:space="preserve">. https://investor.id/lifestyle/251093/aerostreet-bertahan-denganpenjualan-online-dan-model-sepatu-selera-anak-muda </w:t>
      </w:r>
    </w:p>
    <w:p w14:paraId="3B453240"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Manning, G., Ahearne, M., &amp; Reece, B. L. (2020). </w:t>
      </w:r>
      <w:r w:rsidRPr="00E367DD">
        <w:rPr>
          <w:rFonts w:ascii="Calibri" w:eastAsia="Calibri" w:hAnsi="Calibri" w:cs="Calibri"/>
          <w:i/>
          <w:sz w:val="22"/>
          <w:szCs w:val="22"/>
        </w:rPr>
        <w:t>Selling Today: Partnering to Create Value</w:t>
      </w:r>
      <w:r w:rsidRPr="00E367DD">
        <w:rPr>
          <w:rFonts w:ascii="Calibri" w:hAnsi="Calibri" w:cs="Calibri"/>
          <w:sz w:val="22"/>
          <w:szCs w:val="22"/>
        </w:rPr>
        <w:t xml:space="preserve"> (14th ed., Vol. 14). </w:t>
      </w:r>
    </w:p>
    <w:p w14:paraId="68A588BB"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McDonald, W. J. (1995). Home shopping channel customer segments: A cross-cultural perspective. </w:t>
      </w:r>
      <w:r w:rsidRPr="00E367DD">
        <w:rPr>
          <w:rFonts w:ascii="Calibri" w:eastAsia="Calibri" w:hAnsi="Calibri" w:cs="Calibri"/>
          <w:i/>
          <w:sz w:val="22"/>
          <w:szCs w:val="22"/>
        </w:rPr>
        <w:t>Journal of Direct Marketing</w:t>
      </w:r>
      <w:r w:rsidRPr="00E367DD">
        <w:rPr>
          <w:rFonts w:ascii="Calibri" w:hAnsi="Calibri" w:cs="Calibri"/>
          <w:sz w:val="22"/>
          <w:szCs w:val="22"/>
        </w:rPr>
        <w:t xml:space="preserve">, </w:t>
      </w:r>
      <w:r w:rsidRPr="00E367DD">
        <w:rPr>
          <w:rFonts w:ascii="Calibri" w:eastAsia="Calibri" w:hAnsi="Calibri" w:cs="Calibri"/>
          <w:i/>
          <w:sz w:val="22"/>
          <w:szCs w:val="22"/>
        </w:rPr>
        <w:t>9</w:t>
      </w:r>
      <w:r w:rsidRPr="00E367DD">
        <w:rPr>
          <w:rFonts w:ascii="Calibri" w:hAnsi="Calibri" w:cs="Calibri"/>
          <w:sz w:val="22"/>
          <w:szCs w:val="22"/>
        </w:rPr>
        <w:t>(4), 57</w:t>
      </w:r>
      <w:r w:rsidRPr="00E367DD">
        <w:rPr>
          <w:rFonts w:ascii="Calibri" w:eastAsia="Calibri" w:hAnsi="Calibri" w:cs="Calibri"/>
          <w:sz w:val="22"/>
          <w:szCs w:val="22"/>
        </w:rPr>
        <w:t>–</w:t>
      </w:r>
      <w:r w:rsidRPr="00E367DD">
        <w:rPr>
          <w:rFonts w:ascii="Calibri" w:hAnsi="Calibri" w:cs="Calibri"/>
          <w:sz w:val="22"/>
          <w:szCs w:val="22"/>
        </w:rPr>
        <w:t xml:space="preserve">67. https://doi.org/10.1002/dir.4000090407 </w:t>
      </w:r>
    </w:p>
    <w:p w14:paraId="317B52B7"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Miller, N., Maruyama, G., Beaber, R. J., &amp; Valone, K. (1976). Speed of speech and persuasion. </w:t>
      </w:r>
      <w:r w:rsidRPr="00E367DD">
        <w:rPr>
          <w:rFonts w:ascii="Calibri" w:eastAsia="Calibri" w:hAnsi="Calibri" w:cs="Calibri"/>
          <w:i/>
          <w:sz w:val="22"/>
          <w:szCs w:val="22"/>
        </w:rPr>
        <w:t>Journal of Personality and Social Psychology</w:t>
      </w:r>
      <w:r w:rsidRPr="00E367DD">
        <w:rPr>
          <w:rFonts w:ascii="Calibri" w:hAnsi="Calibri" w:cs="Calibri"/>
          <w:sz w:val="22"/>
          <w:szCs w:val="22"/>
        </w:rPr>
        <w:t xml:space="preserve">, </w:t>
      </w:r>
      <w:r w:rsidRPr="00E367DD">
        <w:rPr>
          <w:rFonts w:ascii="Calibri" w:eastAsia="Calibri" w:hAnsi="Calibri" w:cs="Calibri"/>
          <w:i/>
          <w:sz w:val="22"/>
          <w:szCs w:val="22"/>
        </w:rPr>
        <w:t>34</w:t>
      </w:r>
      <w:r w:rsidRPr="00E367DD">
        <w:rPr>
          <w:rFonts w:ascii="Calibri" w:hAnsi="Calibri" w:cs="Calibri"/>
          <w:sz w:val="22"/>
          <w:szCs w:val="22"/>
        </w:rPr>
        <w:t>(4), 615</w:t>
      </w:r>
      <w:r w:rsidRPr="00E367DD">
        <w:rPr>
          <w:rFonts w:ascii="Calibri" w:eastAsia="Calibri" w:hAnsi="Calibri" w:cs="Calibri"/>
          <w:sz w:val="22"/>
          <w:szCs w:val="22"/>
        </w:rPr>
        <w:t>–</w:t>
      </w:r>
      <w:r w:rsidRPr="00E367DD">
        <w:rPr>
          <w:rFonts w:ascii="Calibri" w:hAnsi="Calibri" w:cs="Calibri"/>
          <w:sz w:val="22"/>
          <w:szCs w:val="22"/>
        </w:rPr>
        <w:t xml:space="preserve">624. https://doi.org/10.1037/00223514.34.4.615 </w:t>
      </w:r>
    </w:p>
    <w:p w14:paraId="6320F5B8"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Nasrullah, R. (2014). </w:t>
      </w:r>
      <w:r w:rsidRPr="00E367DD">
        <w:rPr>
          <w:rFonts w:ascii="Calibri" w:eastAsia="Calibri" w:hAnsi="Calibri" w:cs="Calibri"/>
          <w:i/>
          <w:sz w:val="22"/>
          <w:szCs w:val="22"/>
        </w:rPr>
        <w:t>Teori dan Riset Media Siber (Cybermedia)</w:t>
      </w:r>
      <w:r w:rsidRPr="00E367DD">
        <w:rPr>
          <w:rFonts w:ascii="Calibri" w:hAnsi="Calibri" w:cs="Calibri"/>
          <w:sz w:val="22"/>
          <w:szCs w:val="22"/>
        </w:rPr>
        <w:t xml:space="preserve">. Prenada Media Group. </w:t>
      </w:r>
    </w:p>
    <w:p w14:paraId="027F7960" w14:textId="77777777" w:rsidR="00E367DD" w:rsidRPr="00E367DD" w:rsidRDefault="00E367DD" w:rsidP="00E367DD">
      <w:pPr>
        <w:spacing w:after="1" w:line="238" w:lineRule="auto"/>
        <w:ind w:left="475" w:hanging="490"/>
        <w:jc w:val="both"/>
        <w:rPr>
          <w:rFonts w:ascii="Calibri" w:hAnsi="Calibri" w:cs="Calibri"/>
          <w:sz w:val="22"/>
          <w:szCs w:val="22"/>
        </w:rPr>
      </w:pPr>
      <w:r w:rsidRPr="00E367DD">
        <w:rPr>
          <w:rFonts w:ascii="Calibri" w:eastAsia="Calibri" w:hAnsi="Calibri" w:cs="Calibri"/>
          <w:sz w:val="22"/>
          <w:szCs w:val="22"/>
        </w:rPr>
        <w:t xml:space="preserve">Nilep, C. (2006). “Code Switching” in Sociocultural Linguistics. </w:t>
      </w:r>
      <w:r w:rsidRPr="00E367DD">
        <w:rPr>
          <w:rFonts w:ascii="Calibri" w:eastAsia="Calibri" w:hAnsi="Calibri" w:cs="Calibri"/>
          <w:i/>
          <w:sz w:val="22"/>
          <w:szCs w:val="22"/>
        </w:rPr>
        <w:t>Colorado Research in Linguistics</w:t>
      </w:r>
      <w:r w:rsidRPr="00E367DD">
        <w:rPr>
          <w:rFonts w:ascii="Calibri" w:hAnsi="Calibri" w:cs="Calibri"/>
          <w:sz w:val="22"/>
          <w:szCs w:val="22"/>
        </w:rPr>
        <w:t xml:space="preserve">, </w:t>
      </w:r>
      <w:r w:rsidRPr="00E367DD">
        <w:rPr>
          <w:rFonts w:ascii="Calibri" w:eastAsia="Calibri" w:hAnsi="Calibri" w:cs="Calibri"/>
          <w:i/>
          <w:sz w:val="22"/>
          <w:szCs w:val="22"/>
        </w:rPr>
        <w:t>19</w:t>
      </w:r>
      <w:r w:rsidRPr="00E367DD">
        <w:rPr>
          <w:rFonts w:ascii="Calibri" w:hAnsi="Calibri" w:cs="Calibri"/>
          <w:sz w:val="22"/>
          <w:szCs w:val="22"/>
        </w:rPr>
        <w:t xml:space="preserve">. https://doi.org/10.25810/hnq4-jv62 </w:t>
      </w:r>
    </w:p>
    <w:p w14:paraId="6F601012"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Oktania, D. E., &amp; Indarwati, T. A. (2022). Pengaruh Perceived Usefulness, Perceived Ease of Use, dan </w:t>
      </w:r>
    </w:p>
    <w:p w14:paraId="53556539"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lastRenderedPageBreak/>
        <w:t xml:space="preserve">Compatibility with Lifestyle terhadap Niat Beli di Social Commerce. </w:t>
      </w:r>
      <w:r w:rsidRPr="00E367DD">
        <w:rPr>
          <w:rFonts w:ascii="Calibri" w:eastAsia="Calibri" w:hAnsi="Calibri" w:cs="Calibri"/>
          <w:i/>
          <w:sz w:val="22"/>
          <w:szCs w:val="22"/>
        </w:rPr>
        <w:t>Jurnal Ilmu Manajemen</w:t>
      </w:r>
      <w:r w:rsidRPr="00E367DD">
        <w:rPr>
          <w:rFonts w:ascii="Calibri" w:hAnsi="Calibri" w:cs="Calibri"/>
          <w:sz w:val="22"/>
          <w:szCs w:val="22"/>
        </w:rPr>
        <w:t xml:space="preserve">, </w:t>
      </w:r>
    </w:p>
    <w:p w14:paraId="0E190EA8"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10</w:t>
      </w:r>
      <w:r w:rsidRPr="00E367DD">
        <w:rPr>
          <w:rFonts w:ascii="Calibri" w:hAnsi="Calibri" w:cs="Calibri"/>
          <w:sz w:val="22"/>
          <w:szCs w:val="22"/>
        </w:rPr>
        <w:t>(1), 255</w:t>
      </w:r>
      <w:r w:rsidRPr="00E367DD">
        <w:rPr>
          <w:rFonts w:ascii="Calibri" w:eastAsia="Calibri" w:hAnsi="Calibri" w:cs="Calibri"/>
          <w:sz w:val="22"/>
          <w:szCs w:val="22"/>
        </w:rPr>
        <w:t>–</w:t>
      </w:r>
      <w:r w:rsidRPr="00E367DD">
        <w:rPr>
          <w:rFonts w:ascii="Calibri" w:hAnsi="Calibri" w:cs="Calibri"/>
          <w:sz w:val="22"/>
          <w:szCs w:val="22"/>
        </w:rPr>
        <w:t xml:space="preserve">267. https://doi.org/10.26740/jim.v10n1.p255-267 </w:t>
      </w:r>
    </w:p>
    <w:p w14:paraId="7253F96D"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Orlando, F., &amp; Fachira, I. (2023). The Influence of TikTok Hosts on Customer Trust and Engagement in </w:t>
      </w:r>
      <w:r w:rsidRPr="00E367DD">
        <w:rPr>
          <w:rFonts w:ascii="Calibri" w:eastAsia="Calibri" w:hAnsi="Calibri" w:cs="Calibri"/>
          <w:sz w:val="22"/>
          <w:szCs w:val="22"/>
        </w:rPr>
        <w:t xml:space="preserve">the Live Streaming Shop for Men’s Grooming Products. </w:t>
      </w:r>
      <w:r w:rsidRPr="00E367DD">
        <w:rPr>
          <w:rFonts w:ascii="Calibri" w:eastAsia="Calibri" w:hAnsi="Calibri" w:cs="Calibri"/>
          <w:i/>
          <w:sz w:val="22"/>
          <w:szCs w:val="22"/>
        </w:rPr>
        <w:t xml:space="preserve">International Journal of Current Science </w:t>
      </w:r>
    </w:p>
    <w:p w14:paraId="1A94C5DB" w14:textId="77777777" w:rsidR="00E367DD" w:rsidRPr="00E367DD" w:rsidRDefault="00E367DD" w:rsidP="00E367DD">
      <w:pPr>
        <w:spacing w:line="249" w:lineRule="auto"/>
        <w:ind w:left="-15" w:right="1271" w:firstLine="480"/>
        <w:jc w:val="both"/>
        <w:rPr>
          <w:rFonts w:ascii="Calibri" w:hAnsi="Calibri" w:cs="Calibri"/>
          <w:sz w:val="22"/>
          <w:szCs w:val="22"/>
        </w:rPr>
      </w:pPr>
      <w:r w:rsidRPr="00E367DD">
        <w:rPr>
          <w:rFonts w:ascii="Calibri" w:eastAsia="Calibri" w:hAnsi="Calibri" w:cs="Calibri"/>
          <w:i/>
          <w:sz w:val="22"/>
          <w:szCs w:val="22"/>
        </w:rPr>
        <w:t>Research and Review</w:t>
      </w:r>
      <w:r w:rsidRPr="00E367DD">
        <w:rPr>
          <w:rFonts w:ascii="Calibri" w:hAnsi="Calibri" w:cs="Calibri"/>
          <w:sz w:val="22"/>
          <w:szCs w:val="22"/>
        </w:rPr>
        <w:t xml:space="preserve">, </w:t>
      </w:r>
      <w:r w:rsidRPr="00E367DD">
        <w:rPr>
          <w:rFonts w:ascii="Calibri" w:eastAsia="Calibri" w:hAnsi="Calibri" w:cs="Calibri"/>
          <w:i/>
          <w:sz w:val="22"/>
          <w:szCs w:val="22"/>
        </w:rPr>
        <w:t>06</w:t>
      </w:r>
      <w:r w:rsidRPr="00E367DD">
        <w:rPr>
          <w:rFonts w:ascii="Calibri" w:hAnsi="Calibri" w:cs="Calibri"/>
          <w:sz w:val="22"/>
          <w:szCs w:val="22"/>
        </w:rPr>
        <w:t xml:space="preserve">(07). https://doi.org/10.47191/ijcsrr/V6-i7-129 Populix.co. (2022). </w:t>
      </w:r>
      <w:r w:rsidRPr="00E367DD">
        <w:rPr>
          <w:rFonts w:ascii="Calibri" w:eastAsia="Calibri" w:hAnsi="Calibri" w:cs="Calibri"/>
          <w:i/>
          <w:sz w:val="22"/>
          <w:szCs w:val="22"/>
        </w:rPr>
        <w:t>The Social Commerce Landscape in Indonesia</w:t>
      </w:r>
      <w:r w:rsidRPr="00E367DD">
        <w:rPr>
          <w:rFonts w:ascii="Calibri" w:hAnsi="Calibri" w:cs="Calibri"/>
          <w:sz w:val="22"/>
          <w:szCs w:val="22"/>
        </w:rPr>
        <w:t xml:space="preserve">. </w:t>
      </w:r>
    </w:p>
    <w:p w14:paraId="587734C1"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Prayoga, D. E. (2015). </w:t>
      </w:r>
      <w:r w:rsidRPr="00E367DD">
        <w:rPr>
          <w:rFonts w:ascii="Calibri" w:eastAsia="Calibri" w:hAnsi="Calibri" w:cs="Calibri"/>
          <w:i/>
          <w:sz w:val="22"/>
          <w:szCs w:val="22"/>
        </w:rPr>
        <w:t>Easy Copywriting</w:t>
      </w:r>
      <w:r w:rsidRPr="00E367DD">
        <w:rPr>
          <w:rFonts w:ascii="Calibri" w:hAnsi="Calibri" w:cs="Calibri"/>
          <w:sz w:val="22"/>
          <w:szCs w:val="22"/>
        </w:rPr>
        <w:t xml:space="preserve">. Delta Saputra. </w:t>
      </w:r>
    </w:p>
    <w:p w14:paraId="702FB3EA" w14:textId="77777777" w:rsidR="00E367DD" w:rsidRPr="00E367DD" w:rsidRDefault="00E367DD" w:rsidP="00E367DD">
      <w:pPr>
        <w:spacing w:line="249" w:lineRule="auto"/>
        <w:ind w:left="-15"/>
        <w:jc w:val="both"/>
        <w:rPr>
          <w:rFonts w:ascii="Calibri" w:hAnsi="Calibri" w:cs="Calibri"/>
          <w:sz w:val="22"/>
          <w:szCs w:val="22"/>
        </w:rPr>
      </w:pPr>
      <w:r w:rsidRPr="00E367DD">
        <w:rPr>
          <w:rFonts w:ascii="Calibri" w:hAnsi="Calibri" w:cs="Calibri"/>
          <w:sz w:val="22"/>
          <w:szCs w:val="22"/>
        </w:rPr>
        <w:t xml:space="preserve">Rastini, D. S., Laksono, K., &amp; Hum, M. (2022). </w:t>
      </w:r>
      <w:r w:rsidRPr="00E367DD">
        <w:rPr>
          <w:rFonts w:ascii="Calibri" w:eastAsia="Calibri" w:hAnsi="Calibri" w:cs="Calibri"/>
          <w:i/>
          <w:sz w:val="22"/>
          <w:szCs w:val="22"/>
        </w:rPr>
        <w:t>Diksi dan Gaya Bahasa dalam Akun TikTok @Edwin_gst</w:t>
      </w:r>
      <w:r w:rsidRPr="00E367DD">
        <w:rPr>
          <w:rFonts w:ascii="Calibri" w:hAnsi="Calibri" w:cs="Calibri"/>
          <w:sz w:val="22"/>
          <w:szCs w:val="22"/>
        </w:rPr>
        <w:t xml:space="preserve">. </w:t>
      </w:r>
    </w:p>
    <w:p w14:paraId="7116161C"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Rodero, E. (2012). A comparative analysis of speech rate and perception in radio bulletins. </w:t>
      </w:r>
      <w:r w:rsidRPr="00E367DD">
        <w:rPr>
          <w:rFonts w:ascii="Calibri" w:eastAsia="Calibri" w:hAnsi="Calibri" w:cs="Calibri"/>
          <w:i/>
          <w:sz w:val="22"/>
          <w:szCs w:val="22"/>
        </w:rPr>
        <w:t>Text &amp; Talk</w:t>
      </w:r>
      <w:r w:rsidRPr="00E367DD">
        <w:rPr>
          <w:rFonts w:ascii="Calibri" w:hAnsi="Calibri" w:cs="Calibri"/>
          <w:sz w:val="22"/>
          <w:szCs w:val="22"/>
        </w:rPr>
        <w:t xml:space="preserve">, </w:t>
      </w:r>
      <w:r w:rsidRPr="00E367DD">
        <w:rPr>
          <w:rFonts w:ascii="Calibri" w:eastAsia="Calibri" w:hAnsi="Calibri" w:cs="Calibri"/>
          <w:i/>
          <w:sz w:val="22"/>
          <w:szCs w:val="22"/>
        </w:rPr>
        <w:t>32</w:t>
      </w:r>
      <w:r w:rsidRPr="00E367DD">
        <w:rPr>
          <w:rFonts w:ascii="Calibri" w:hAnsi="Calibri" w:cs="Calibri"/>
          <w:sz w:val="22"/>
          <w:szCs w:val="22"/>
        </w:rPr>
        <w:t xml:space="preserve">(3). https://doi.org/10.1515/text-2012-0019 </w:t>
      </w:r>
    </w:p>
    <w:p w14:paraId="775B24FB" w14:textId="77777777" w:rsidR="00E367DD" w:rsidRPr="00E367DD" w:rsidRDefault="00E367DD" w:rsidP="00E367DD">
      <w:pPr>
        <w:spacing w:line="249" w:lineRule="auto"/>
        <w:ind w:left="475" w:hanging="490"/>
        <w:jc w:val="both"/>
        <w:rPr>
          <w:rFonts w:ascii="Calibri" w:hAnsi="Calibri" w:cs="Calibri"/>
          <w:sz w:val="22"/>
          <w:szCs w:val="22"/>
        </w:rPr>
      </w:pPr>
      <w:r w:rsidRPr="00E367DD">
        <w:rPr>
          <w:rFonts w:ascii="Calibri" w:hAnsi="Calibri" w:cs="Calibri"/>
          <w:sz w:val="22"/>
          <w:szCs w:val="22"/>
        </w:rPr>
        <w:t xml:space="preserve">Rohmah, R. D., &amp; Sabardila, A. (2022). </w:t>
      </w:r>
      <w:r w:rsidRPr="00E367DD">
        <w:rPr>
          <w:rFonts w:ascii="Calibri" w:eastAsia="Calibri" w:hAnsi="Calibri" w:cs="Calibri"/>
          <w:i/>
          <w:sz w:val="22"/>
          <w:szCs w:val="22"/>
        </w:rPr>
        <w:t>VARIASI BAHASA PENGGEMAR K-POP DAN K-DRAMA DALAM KOLOM KOMENTAR MEDIA SOSIAL TWITTER DAN TIKTOK (Language Variations of K-pop and Kdrama Fans in Social Comments on Twitter and Tiktok Media)</w:t>
      </w:r>
      <w:r w:rsidRPr="00E367DD">
        <w:rPr>
          <w:rFonts w:ascii="Calibri" w:hAnsi="Calibri" w:cs="Calibri"/>
          <w:sz w:val="22"/>
          <w:szCs w:val="22"/>
        </w:rPr>
        <w:t xml:space="preserve">. </w:t>
      </w:r>
    </w:p>
    <w:p w14:paraId="7EA6B847"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https://doi.org/10.26499/ttbng.v10i1.356 </w:t>
      </w:r>
    </w:p>
    <w:p w14:paraId="5CF868D0"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Ruslina, S. (2019, April). Cara Ifan Kesuma Besarkan Oxone. </w:t>
      </w:r>
      <w:r w:rsidRPr="00E367DD">
        <w:rPr>
          <w:rFonts w:ascii="Calibri" w:eastAsia="Calibri" w:hAnsi="Calibri" w:cs="Calibri"/>
          <w:i/>
          <w:sz w:val="22"/>
          <w:szCs w:val="22"/>
        </w:rPr>
        <w:t>Pelakubisnis.Com</w:t>
      </w:r>
      <w:r w:rsidRPr="00E367DD">
        <w:rPr>
          <w:rFonts w:ascii="Calibri" w:hAnsi="Calibri" w:cs="Calibri"/>
          <w:sz w:val="22"/>
          <w:szCs w:val="22"/>
        </w:rPr>
        <w:t xml:space="preserve">. </w:t>
      </w:r>
    </w:p>
    <w:p w14:paraId="40D9D87E"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Setya, S. I., Solihah, S. T., &amp; Suryani, Y. (2022). VARIASI BAHASA PADA MEDIA SOSIAL TIKTOK. </w:t>
      </w:r>
      <w:r w:rsidRPr="00E367DD">
        <w:rPr>
          <w:rFonts w:ascii="Calibri" w:eastAsia="Calibri" w:hAnsi="Calibri" w:cs="Calibri"/>
          <w:i/>
          <w:sz w:val="22"/>
          <w:szCs w:val="22"/>
        </w:rPr>
        <w:t>Bahasa, Komunikasi</w:t>
      </w:r>
      <w:r w:rsidRPr="00E367DD">
        <w:rPr>
          <w:rFonts w:ascii="Calibri" w:hAnsi="Calibri" w:cs="Calibri"/>
          <w:sz w:val="22"/>
          <w:szCs w:val="22"/>
        </w:rPr>
        <w:t xml:space="preserve">, </w:t>
      </w:r>
      <w:r w:rsidRPr="00E367DD">
        <w:rPr>
          <w:rFonts w:ascii="Calibri" w:eastAsia="Calibri" w:hAnsi="Calibri" w:cs="Calibri"/>
          <w:i/>
          <w:sz w:val="22"/>
          <w:szCs w:val="22"/>
        </w:rPr>
        <w:t>3</w:t>
      </w:r>
      <w:r w:rsidRPr="00E367DD">
        <w:rPr>
          <w:rFonts w:ascii="Calibri" w:hAnsi="Calibri" w:cs="Calibri"/>
          <w:sz w:val="22"/>
          <w:szCs w:val="22"/>
        </w:rPr>
        <w:t xml:space="preserve">(1). </w:t>
      </w:r>
    </w:p>
    <w:p w14:paraId="005326F4"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Sheth, J. (1976, January 1). </w:t>
      </w:r>
      <w:r w:rsidRPr="00E367DD">
        <w:rPr>
          <w:rFonts w:ascii="Calibri" w:eastAsia="Calibri" w:hAnsi="Calibri" w:cs="Calibri"/>
          <w:i/>
          <w:sz w:val="22"/>
          <w:szCs w:val="22"/>
        </w:rPr>
        <w:t>Buyer-Seller Interaction: A Conceptual Framework</w:t>
      </w:r>
      <w:r w:rsidRPr="00E367DD">
        <w:rPr>
          <w:rFonts w:ascii="Calibri" w:hAnsi="Calibri" w:cs="Calibri"/>
          <w:sz w:val="22"/>
          <w:szCs w:val="22"/>
        </w:rPr>
        <w:t xml:space="preserve">. Www.Jagsheth.Com. </w:t>
      </w:r>
    </w:p>
    <w:p w14:paraId="110A1591"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https://www.jagsheth.com/consumer-behavior/buyer-seller-interaction-a-conceptualframework/#Determinant_Factors </w:t>
      </w:r>
    </w:p>
    <w:p w14:paraId="4AEA149F"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Sun, Y., Shao, X., Li, X., Guo, Y., &amp; Nie, K. (2019). How live streaming influences purchase intentions in social commerce: An IT affordance perspective. </w:t>
      </w:r>
      <w:r w:rsidRPr="00E367DD">
        <w:rPr>
          <w:rFonts w:ascii="Calibri" w:eastAsia="Calibri" w:hAnsi="Calibri" w:cs="Calibri"/>
          <w:i/>
          <w:sz w:val="22"/>
          <w:szCs w:val="22"/>
        </w:rPr>
        <w:t>Electronic Commerce Research and Applications</w:t>
      </w:r>
      <w:r w:rsidRPr="00E367DD">
        <w:rPr>
          <w:rFonts w:ascii="Calibri" w:hAnsi="Calibri" w:cs="Calibri"/>
          <w:sz w:val="22"/>
          <w:szCs w:val="22"/>
        </w:rPr>
        <w:t xml:space="preserve">, </w:t>
      </w:r>
    </w:p>
    <w:p w14:paraId="112601C5"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37</w:t>
      </w:r>
      <w:r w:rsidRPr="00E367DD">
        <w:rPr>
          <w:rFonts w:ascii="Calibri" w:hAnsi="Calibri" w:cs="Calibri"/>
          <w:sz w:val="22"/>
          <w:szCs w:val="22"/>
        </w:rPr>
        <w:t xml:space="preserve">, 100886. https://doi.org/10.1016/j.elerap.2019.100886 </w:t>
      </w:r>
    </w:p>
    <w:p w14:paraId="7A1E9EBB"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Triana, N. (2021, April 14). Tembus Pasar Mancanegara, Digitalisasi dan Inovasi Produk Jadi Kunci Sukses Aerostreet. </w:t>
      </w:r>
      <w:r w:rsidRPr="00E367DD">
        <w:rPr>
          <w:rFonts w:ascii="Calibri" w:eastAsia="Calibri" w:hAnsi="Calibri" w:cs="Calibri"/>
          <w:i/>
          <w:sz w:val="22"/>
          <w:szCs w:val="22"/>
        </w:rPr>
        <w:t>Grid.Id</w:t>
      </w:r>
      <w:r w:rsidRPr="00E367DD">
        <w:rPr>
          <w:rFonts w:ascii="Calibri" w:hAnsi="Calibri" w:cs="Calibri"/>
          <w:sz w:val="22"/>
          <w:szCs w:val="22"/>
        </w:rPr>
        <w:t xml:space="preserve">. https://www.grid.id/read/042649514/tembus-pasar-mancanegaradigitalisasi-dan-inovasi-produk-jadi-kunci-sukses-aerostreet </w:t>
      </w:r>
    </w:p>
    <w:p w14:paraId="03BC66AC"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Vedhitya, M. (2023, June 9). Tren Belanja Online lewat Fitur Live Streaming. </w:t>
      </w:r>
      <w:r w:rsidRPr="00E367DD">
        <w:rPr>
          <w:rFonts w:ascii="Calibri" w:eastAsia="Calibri" w:hAnsi="Calibri" w:cs="Calibri"/>
          <w:i/>
          <w:sz w:val="22"/>
          <w:szCs w:val="22"/>
        </w:rPr>
        <w:t>Https://Www.Marketeers.Com/</w:t>
      </w:r>
      <w:r w:rsidRPr="00E367DD">
        <w:rPr>
          <w:rFonts w:ascii="Calibri" w:hAnsi="Calibri" w:cs="Calibri"/>
          <w:sz w:val="22"/>
          <w:szCs w:val="22"/>
        </w:rPr>
        <w:t xml:space="preserve">. </w:t>
      </w:r>
    </w:p>
    <w:p w14:paraId="6DBB75FA"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Wang, Y., Lu, Z., Cao, P., Chu, J., Wang, H., &amp; Wattenhofer, R. (2022). How Live Streaming Changes Shopping Decisions in E-commerce: A Study of Live Streaming Commerce. </w:t>
      </w:r>
      <w:r w:rsidRPr="00E367DD">
        <w:rPr>
          <w:rFonts w:ascii="Calibri" w:eastAsia="Calibri" w:hAnsi="Calibri" w:cs="Calibri"/>
          <w:i/>
          <w:sz w:val="22"/>
          <w:szCs w:val="22"/>
        </w:rPr>
        <w:t xml:space="preserve">Computer Supported </w:t>
      </w:r>
    </w:p>
    <w:p w14:paraId="4BA9D914"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Cooperative Work (CSCW)</w:t>
      </w:r>
      <w:r w:rsidRPr="00E367DD">
        <w:rPr>
          <w:rFonts w:ascii="Calibri" w:hAnsi="Calibri" w:cs="Calibri"/>
          <w:sz w:val="22"/>
          <w:szCs w:val="22"/>
        </w:rPr>
        <w:t xml:space="preserve">, </w:t>
      </w:r>
      <w:r w:rsidRPr="00E367DD">
        <w:rPr>
          <w:rFonts w:ascii="Calibri" w:eastAsia="Calibri" w:hAnsi="Calibri" w:cs="Calibri"/>
          <w:i/>
          <w:sz w:val="22"/>
          <w:szCs w:val="22"/>
        </w:rPr>
        <w:t>31</w:t>
      </w:r>
      <w:r w:rsidRPr="00E367DD">
        <w:rPr>
          <w:rFonts w:ascii="Calibri" w:hAnsi="Calibri" w:cs="Calibri"/>
          <w:sz w:val="22"/>
          <w:szCs w:val="22"/>
        </w:rPr>
        <w:t>(4), 701</w:t>
      </w:r>
      <w:r w:rsidRPr="00E367DD">
        <w:rPr>
          <w:rFonts w:ascii="Calibri" w:eastAsia="Calibri" w:hAnsi="Calibri" w:cs="Calibri"/>
          <w:sz w:val="22"/>
          <w:szCs w:val="22"/>
        </w:rPr>
        <w:t>–</w:t>
      </w:r>
      <w:r w:rsidRPr="00E367DD">
        <w:rPr>
          <w:rFonts w:ascii="Calibri" w:hAnsi="Calibri" w:cs="Calibri"/>
          <w:sz w:val="22"/>
          <w:szCs w:val="22"/>
        </w:rPr>
        <w:t xml:space="preserve">729. https://doi.org/10.1007/s10606-022-09439-2 </w:t>
      </w:r>
    </w:p>
    <w:p w14:paraId="4DF9A56A"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Wei, Q. (2022). Research on Behavioural Traits and Marketing Strategies of Chinese University </w:t>
      </w:r>
    </w:p>
    <w:p w14:paraId="7D4BA27B"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Students Using Tiktok Live-streaming Platforms. </w:t>
      </w:r>
      <w:r w:rsidRPr="00E367DD">
        <w:rPr>
          <w:rFonts w:ascii="Calibri" w:eastAsia="Calibri" w:hAnsi="Calibri" w:cs="Calibri"/>
          <w:i/>
          <w:sz w:val="22"/>
          <w:szCs w:val="22"/>
        </w:rPr>
        <w:t>BCP Business &amp; Management</w:t>
      </w:r>
      <w:r w:rsidRPr="00E367DD">
        <w:rPr>
          <w:rFonts w:ascii="Calibri" w:hAnsi="Calibri" w:cs="Calibri"/>
          <w:sz w:val="22"/>
          <w:szCs w:val="22"/>
        </w:rPr>
        <w:t xml:space="preserve">, </w:t>
      </w:r>
      <w:r w:rsidRPr="00E367DD">
        <w:rPr>
          <w:rFonts w:ascii="Calibri" w:eastAsia="Calibri" w:hAnsi="Calibri" w:cs="Calibri"/>
          <w:i/>
          <w:sz w:val="22"/>
          <w:szCs w:val="22"/>
        </w:rPr>
        <w:t>31</w:t>
      </w:r>
      <w:r w:rsidRPr="00E367DD">
        <w:rPr>
          <w:rFonts w:ascii="Calibri" w:hAnsi="Calibri" w:cs="Calibri"/>
          <w:sz w:val="22"/>
          <w:szCs w:val="22"/>
        </w:rPr>
        <w:t>, 176</w:t>
      </w:r>
      <w:r w:rsidRPr="00E367DD">
        <w:rPr>
          <w:rFonts w:ascii="Calibri" w:eastAsia="Calibri" w:hAnsi="Calibri" w:cs="Calibri"/>
          <w:sz w:val="22"/>
          <w:szCs w:val="22"/>
        </w:rPr>
        <w:t>–</w:t>
      </w:r>
      <w:r w:rsidRPr="00E367DD">
        <w:rPr>
          <w:rFonts w:ascii="Calibri" w:hAnsi="Calibri" w:cs="Calibri"/>
          <w:sz w:val="22"/>
          <w:szCs w:val="22"/>
        </w:rPr>
        <w:t xml:space="preserve">183. https://doi.org/10.54691/bcpbm.v31i.2556 </w:t>
      </w:r>
    </w:p>
    <w:p w14:paraId="59A533C1" w14:textId="77777777" w:rsidR="00E367DD" w:rsidRPr="00E367DD" w:rsidRDefault="00E367DD" w:rsidP="00E367DD">
      <w:pPr>
        <w:spacing w:after="1" w:line="238" w:lineRule="auto"/>
        <w:ind w:left="475" w:hanging="490"/>
        <w:jc w:val="both"/>
        <w:rPr>
          <w:rFonts w:ascii="Calibri" w:hAnsi="Calibri" w:cs="Calibri"/>
          <w:sz w:val="22"/>
          <w:szCs w:val="22"/>
        </w:rPr>
      </w:pPr>
      <w:r w:rsidRPr="00E367DD">
        <w:rPr>
          <w:rFonts w:ascii="Calibri" w:eastAsia="Calibri" w:hAnsi="Calibri" w:cs="Calibri"/>
          <w:sz w:val="22"/>
          <w:szCs w:val="22"/>
        </w:rPr>
        <w:t xml:space="preserve">Wongkitrungrueng, A., Dehouche, N., &amp; Assarut, N. (2020). Live streaming commerce from the sellers’ </w:t>
      </w:r>
      <w:r w:rsidRPr="00E367DD">
        <w:rPr>
          <w:rFonts w:ascii="Calibri" w:hAnsi="Calibri" w:cs="Calibri"/>
          <w:sz w:val="22"/>
          <w:szCs w:val="22"/>
        </w:rPr>
        <w:t xml:space="preserve">perspective: implications for online relationship marketing. </w:t>
      </w:r>
      <w:r w:rsidRPr="00E367DD">
        <w:rPr>
          <w:rFonts w:ascii="Calibri" w:eastAsia="Calibri" w:hAnsi="Calibri" w:cs="Calibri"/>
          <w:i/>
          <w:sz w:val="22"/>
          <w:szCs w:val="22"/>
        </w:rPr>
        <w:t>Journal of Marketing Management</w:t>
      </w:r>
      <w:r w:rsidRPr="00E367DD">
        <w:rPr>
          <w:rFonts w:ascii="Calibri" w:hAnsi="Calibri" w:cs="Calibri"/>
          <w:sz w:val="22"/>
          <w:szCs w:val="22"/>
        </w:rPr>
        <w:t xml:space="preserve">, </w:t>
      </w:r>
    </w:p>
    <w:p w14:paraId="31BF62AF"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eastAsia="Calibri" w:hAnsi="Calibri" w:cs="Calibri"/>
          <w:i/>
          <w:sz w:val="22"/>
          <w:szCs w:val="22"/>
        </w:rPr>
        <w:t>36</w:t>
      </w:r>
      <w:r w:rsidRPr="00E367DD">
        <w:rPr>
          <w:rFonts w:ascii="Calibri" w:hAnsi="Calibri" w:cs="Calibri"/>
          <w:sz w:val="22"/>
          <w:szCs w:val="22"/>
        </w:rPr>
        <w:t>(5</w:t>
      </w:r>
      <w:r w:rsidRPr="00E367DD">
        <w:rPr>
          <w:rFonts w:ascii="Calibri" w:eastAsia="Calibri" w:hAnsi="Calibri" w:cs="Calibri"/>
          <w:sz w:val="22"/>
          <w:szCs w:val="22"/>
        </w:rPr>
        <w:t>–</w:t>
      </w:r>
      <w:r w:rsidRPr="00E367DD">
        <w:rPr>
          <w:rFonts w:ascii="Calibri" w:hAnsi="Calibri" w:cs="Calibri"/>
          <w:sz w:val="22"/>
          <w:szCs w:val="22"/>
        </w:rPr>
        <w:t>6), 488</w:t>
      </w:r>
      <w:r w:rsidRPr="00E367DD">
        <w:rPr>
          <w:rFonts w:ascii="Calibri" w:eastAsia="Calibri" w:hAnsi="Calibri" w:cs="Calibri"/>
          <w:sz w:val="22"/>
          <w:szCs w:val="22"/>
        </w:rPr>
        <w:t>–</w:t>
      </w:r>
      <w:r w:rsidRPr="00E367DD">
        <w:rPr>
          <w:rFonts w:ascii="Calibri" w:hAnsi="Calibri" w:cs="Calibri"/>
          <w:sz w:val="22"/>
          <w:szCs w:val="22"/>
        </w:rPr>
        <w:t xml:space="preserve">518. https://doi.org/10.1080/0267257X.2020.1748895 </w:t>
      </w:r>
    </w:p>
    <w:p w14:paraId="163998D0"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Yang, L., &amp; Duan, Y. (2010). Research on Culture-Based Model of TV Home Shopping Development. </w:t>
      </w:r>
      <w:r w:rsidRPr="00E367DD">
        <w:rPr>
          <w:rFonts w:ascii="Calibri" w:eastAsia="Calibri" w:hAnsi="Calibri" w:cs="Calibri"/>
          <w:i/>
          <w:sz w:val="22"/>
          <w:szCs w:val="22"/>
        </w:rPr>
        <w:t>Information Technology Journal</w:t>
      </w:r>
      <w:r w:rsidRPr="00E367DD">
        <w:rPr>
          <w:rFonts w:ascii="Calibri" w:hAnsi="Calibri" w:cs="Calibri"/>
          <w:sz w:val="22"/>
          <w:szCs w:val="22"/>
        </w:rPr>
        <w:t xml:space="preserve">, </w:t>
      </w:r>
      <w:r w:rsidRPr="00E367DD">
        <w:rPr>
          <w:rFonts w:ascii="Calibri" w:eastAsia="Calibri" w:hAnsi="Calibri" w:cs="Calibri"/>
          <w:i/>
          <w:sz w:val="22"/>
          <w:szCs w:val="22"/>
        </w:rPr>
        <w:t>9</w:t>
      </w:r>
      <w:r w:rsidRPr="00E367DD">
        <w:rPr>
          <w:rFonts w:ascii="Calibri" w:hAnsi="Calibri" w:cs="Calibri"/>
          <w:sz w:val="22"/>
          <w:szCs w:val="22"/>
        </w:rPr>
        <w:t>(4), 698</w:t>
      </w:r>
      <w:r w:rsidRPr="00E367DD">
        <w:rPr>
          <w:rFonts w:ascii="Calibri" w:eastAsia="Calibri" w:hAnsi="Calibri" w:cs="Calibri"/>
          <w:sz w:val="22"/>
          <w:szCs w:val="22"/>
        </w:rPr>
        <w:t>–</w:t>
      </w:r>
      <w:r w:rsidRPr="00E367DD">
        <w:rPr>
          <w:rFonts w:ascii="Calibri" w:hAnsi="Calibri" w:cs="Calibri"/>
          <w:sz w:val="22"/>
          <w:szCs w:val="22"/>
        </w:rPr>
        <w:t xml:space="preserve">703. https://doi.org/10.3923/itj.2010.698.703 </w:t>
      </w:r>
    </w:p>
    <w:p w14:paraId="3AA810BF" w14:textId="77777777" w:rsidR="00E367DD" w:rsidRPr="00E367DD" w:rsidRDefault="00E367DD" w:rsidP="00E367DD">
      <w:pPr>
        <w:spacing w:line="249" w:lineRule="auto"/>
        <w:ind w:left="465" w:hanging="480"/>
        <w:jc w:val="both"/>
        <w:rPr>
          <w:rFonts w:ascii="Calibri" w:hAnsi="Calibri" w:cs="Calibri"/>
          <w:sz w:val="22"/>
          <w:szCs w:val="22"/>
        </w:rPr>
      </w:pPr>
      <w:r w:rsidRPr="00E367DD">
        <w:rPr>
          <w:rFonts w:ascii="Calibri" w:hAnsi="Calibri" w:cs="Calibri"/>
          <w:sz w:val="22"/>
          <w:szCs w:val="22"/>
        </w:rPr>
        <w:t xml:space="preserve">Yusra, Y. (2023, February 9). Momentum Bisnis E-commerce Indonesia di Tahun 2023. </w:t>
      </w:r>
      <w:r w:rsidRPr="00E367DD">
        <w:rPr>
          <w:rFonts w:ascii="Calibri" w:eastAsia="Calibri" w:hAnsi="Calibri" w:cs="Calibri"/>
          <w:i/>
          <w:sz w:val="22"/>
          <w:szCs w:val="22"/>
        </w:rPr>
        <w:t>Dailysocial.Id</w:t>
      </w:r>
      <w:r w:rsidRPr="00E367DD">
        <w:rPr>
          <w:rFonts w:ascii="Calibri" w:hAnsi="Calibri" w:cs="Calibri"/>
          <w:sz w:val="22"/>
          <w:szCs w:val="22"/>
        </w:rPr>
        <w:t xml:space="preserve">. https://dailysocial.id/post/momentum-bisnis-e-commerce-indonesia-di-tahun-2023 </w:t>
      </w:r>
    </w:p>
    <w:p w14:paraId="5C97372B" w14:textId="77777777" w:rsidR="00E367DD" w:rsidRPr="00E367DD" w:rsidRDefault="00E367DD" w:rsidP="00E367DD">
      <w:pPr>
        <w:spacing w:line="249" w:lineRule="auto"/>
        <w:ind w:left="-5" w:hanging="10"/>
        <w:jc w:val="both"/>
        <w:rPr>
          <w:rFonts w:ascii="Calibri" w:hAnsi="Calibri" w:cs="Calibri"/>
          <w:sz w:val="22"/>
          <w:szCs w:val="22"/>
        </w:rPr>
      </w:pPr>
      <w:r w:rsidRPr="00E367DD">
        <w:rPr>
          <w:rFonts w:ascii="Calibri" w:hAnsi="Calibri" w:cs="Calibri"/>
          <w:sz w:val="22"/>
          <w:szCs w:val="22"/>
        </w:rPr>
        <w:t xml:space="preserve">Zhou, L., Zhang, P., &amp; Zimmermann, H. D. (2013). Social commerce research: An integrated view. </w:t>
      </w:r>
    </w:p>
    <w:p w14:paraId="302C46E9" w14:textId="77777777" w:rsidR="00E367DD" w:rsidRPr="00E367DD" w:rsidRDefault="00E367DD" w:rsidP="00E367DD">
      <w:pPr>
        <w:spacing w:line="249" w:lineRule="auto"/>
        <w:ind w:left="480"/>
        <w:jc w:val="both"/>
        <w:rPr>
          <w:rFonts w:ascii="Calibri" w:hAnsi="Calibri" w:cs="Calibri"/>
          <w:sz w:val="22"/>
          <w:szCs w:val="22"/>
        </w:rPr>
      </w:pPr>
      <w:r w:rsidRPr="00E367DD">
        <w:rPr>
          <w:rFonts w:ascii="Calibri" w:eastAsia="Calibri" w:hAnsi="Calibri" w:cs="Calibri"/>
          <w:i/>
          <w:sz w:val="22"/>
          <w:szCs w:val="22"/>
        </w:rPr>
        <w:t>Electronic Commerce Research and Applications</w:t>
      </w:r>
      <w:r w:rsidRPr="00E367DD">
        <w:rPr>
          <w:rFonts w:ascii="Calibri" w:hAnsi="Calibri" w:cs="Calibri"/>
          <w:sz w:val="22"/>
          <w:szCs w:val="22"/>
        </w:rPr>
        <w:t xml:space="preserve">, </w:t>
      </w:r>
      <w:r w:rsidRPr="00E367DD">
        <w:rPr>
          <w:rFonts w:ascii="Calibri" w:eastAsia="Calibri" w:hAnsi="Calibri" w:cs="Calibri"/>
          <w:i/>
          <w:sz w:val="22"/>
          <w:szCs w:val="22"/>
        </w:rPr>
        <w:t>12</w:t>
      </w:r>
      <w:r w:rsidRPr="00E367DD">
        <w:rPr>
          <w:rFonts w:ascii="Calibri" w:hAnsi="Calibri" w:cs="Calibri"/>
          <w:sz w:val="22"/>
          <w:szCs w:val="22"/>
        </w:rPr>
        <w:t>(2), 61</w:t>
      </w:r>
      <w:r w:rsidRPr="00E367DD">
        <w:rPr>
          <w:rFonts w:ascii="Calibri" w:eastAsia="Calibri" w:hAnsi="Calibri" w:cs="Calibri"/>
          <w:sz w:val="22"/>
          <w:szCs w:val="22"/>
        </w:rPr>
        <w:t>–</w:t>
      </w:r>
      <w:r w:rsidRPr="00E367DD">
        <w:rPr>
          <w:rFonts w:ascii="Calibri" w:hAnsi="Calibri" w:cs="Calibri"/>
          <w:sz w:val="22"/>
          <w:szCs w:val="22"/>
        </w:rPr>
        <w:t xml:space="preserve">68. </w:t>
      </w:r>
    </w:p>
    <w:p w14:paraId="2DA92DC4" w14:textId="77777777" w:rsidR="00E367DD" w:rsidRPr="00E367DD" w:rsidRDefault="00E367DD" w:rsidP="00E367DD">
      <w:pPr>
        <w:spacing w:line="249" w:lineRule="auto"/>
        <w:ind w:left="490" w:hanging="10"/>
        <w:jc w:val="both"/>
        <w:rPr>
          <w:rFonts w:ascii="Calibri" w:hAnsi="Calibri" w:cs="Calibri"/>
          <w:sz w:val="22"/>
          <w:szCs w:val="22"/>
        </w:rPr>
      </w:pPr>
      <w:r w:rsidRPr="00E367DD">
        <w:rPr>
          <w:rFonts w:ascii="Calibri" w:hAnsi="Calibri" w:cs="Calibri"/>
          <w:sz w:val="22"/>
          <w:szCs w:val="22"/>
        </w:rPr>
        <w:t xml:space="preserve">https://doi.org/10.1016/J.ELERAP.2013.02.003 </w:t>
      </w:r>
    </w:p>
    <w:p w14:paraId="6F6DC111" w14:textId="76EB0EE8" w:rsidR="00E367DD" w:rsidRPr="00E367DD" w:rsidRDefault="00E367DD" w:rsidP="00E367DD">
      <w:pPr>
        <w:widowControl w:val="0"/>
        <w:ind w:left="482" w:hanging="482"/>
        <w:jc w:val="both"/>
        <w:rPr>
          <w:rFonts w:ascii="Calibri" w:eastAsia="Calibri" w:hAnsi="Calibri" w:cs="Calibri"/>
          <w:sz w:val="22"/>
          <w:szCs w:val="22"/>
        </w:rPr>
        <w:sectPr w:rsidR="00E367DD" w:rsidRPr="00E367DD">
          <w:footerReference w:type="even" r:id="rId20"/>
          <w:footerReference w:type="default" r:id="rId21"/>
          <w:footerReference w:type="first" r:id="rId22"/>
          <w:type w:val="continuous"/>
          <w:pgSz w:w="11907" w:h="16840"/>
          <w:pgMar w:top="1701" w:right="1418" w:bottom="1701" w:left="1418" w:header="567" w:footer="567" w:gutter="0"/>
          <w:cols w:space="720"/>
        </w:sectPr>
      </w:pPr>
    </w:p>
    <w:p w14:paraId="60949106" w14:textId="77777777" w:rsidR="00956820" w:rsidRPr="00E367DD" w:rsidRDefault="00956820">
      <w:pPr>
        <w:pBdr>
          <w:top w:val="nil"/>
          <w:left w:val="nil"/>
          <w:bottom w:val="nil"/>
          <w:right w:val="nil"/>
          <w:between w:val="nil"/>
        </w:pBdr>
        <w:ind w:firstLine="426"/>
        <w:jc w:val="both"/>
        <w:rPr>
          <w:rFonts w:ascii="Calibri" w:eastAsia="Calibri" w:hAnsi="Calibri" w:cs="Calibri"/>
          <w:color w:val="000000"/>
          <w:sz w:val="22"/>
          <w:szCs w:val="22"/>
        </w:rPr>
        <w:sectPr w:rsidR="00956820" w:rsidRPr="00E367DD">
          <w:type w:val="continuous"/>
          <w:pgSz w:w="11907" w:h="16840"/>
          <w:pgMar w:top="1701" w:right="1418" w:bottom="1701" w:left="1418" w:header="567" w:footer="567" w:gutter="0"/>
          <w:cols w:num="2" w:space="720" w:equalWidth="0">
            <w:col w:w="4175" w:space="720"/>
            <w:col w:w="4175" w:space="0"/>
          </w:cols>
          <w:titlePg/>
        </w:sectPr>
      </w:pPr>
    </w:p>
    <w:p w14:paraId="3E8C8A17" w14:textId="77777777" w:rsidR="00956820" w:rsidRPr="00E367DD" w:rsidRDefault="00956820">
      <w:pPr>
        <w:pBdr>
          <w:top w:val="nil"/>
          <w:left w:val="nil"/>
          <w:bottom w:val="nil"/>
          <w:right w:val="nil"/>
          <w:between w:val="nil"/>
        </w:pBdr>
        <w:jc w:val="both"/>
        <w:rPr>
          <w:rFonts w:ascii="Calibri" w:eastAsia="Calibri" w:hAnsi="Calibri" w:cs="Calibri"/>
          <w:color w:val="000000"/>
          <w:sz w:val="22"/>
          <w:szCs w:val="22"/>
        </w:rPr>
        <w:sectPr w:rsidR="00956820" w:rsidRPr="00E367DD">
          <w:type w:val="continuous"/>
          <w:pgSz w:w="11907" w:h="16840"/>
          <w:pgMar w:top="1701" w:right="1418" w:bottom="1701" w:left="1418" w:header="567" w:footer="567" w:gutter="0"/>
          <w:cols w:num="2" w:space="720" w:equalWidth="0">
            <w:col w:w="4175" w:space="720"/>
            <w:col w:w="4175" w:space="0"/>
          </w:cols>
          <w:titlePg/>
        </w:sectPr>
      </w:pPr>
    </w:p>
    <w:p w14:paraId="309A7850" w14:textId="77777777" w:rsidR="00956820" w:rsidRDefault="00956820">
      <w:pPr>
        <w:widowControl w:val="0"/>
        <w:ind w:left="482" w:hanging="482"/>
        <w:rPr>
          <w:rFonts w:ascii="Calibri" w:eastAsia="Calibri" w:hAnsi="Calibri" w:cs="Calibri"/>
          <w:sz w:val="22"/>
          <w:szCs w:val="22"/>
        </w:rPr>
        <w:sectPr w:rsidR="00956820">
          <w:type w:val="continuous"/>
          <w:pgSz w:w="11907" w:h="16840"/>
          <w:pgMar w:top="1701" w:right="1418" w:bottom="1701" w:left="1418" w:header="567" w:footer="567" w:gutter="0"/>
          <w:cols w:space="720"/>
          <w:titlePg/>
        </w:sectPr>
      </w:pPr>
    </w:p>
    <w:p w14:paraId="31065461" w14:textId="77777777" w:rsidR="00956820" w:rsidRDefault="00956820">
      <w:pPr>
        <w:pBdr>
          <w:top w:val="nil"/>
          <w:left w:val="nil"/>
          <w:bottom w:val="nil"/>
          <w:right w:val="nil"/>
          <w:between w:val="nil"/>
        </w:pBdr>
        <w:shd w:val="clear" w:color="auto" w:fill="FFFFFF"/>
        <w:jc w:val="both"/>
        <w:rPr>
          <w:rFonts w:ascii="Calibri" w:eastAsia="Calibri" w:hAnsi="Calibri" w:cs="Calibri"/>
          <w:sz w:val="24"/>
          <w:szCs w:val="24"/>
        </w:rPr>
        <w:sectPr w:rsidR="00956820">
          <w:type w:val="continuous"/>
          <w:pgSz w:w="11907" w:h="16840"/>
          <w:pgMar w:top="1701" w:right="1418" w:bottom="1701" w:left="1418" w:header="567" w:footer="567" w:gutter="0"/>
          <w:cols w:space="720"/>
          <w:titlePg/>
        </w:sectPr>
      </w:pPr>
    </w:p>
    <w:p w14:paraId="5ADFD35F" w14:textId="77777777" w:rsidR="00956820" w:rsidRDefault="00956820">
      <w:pPr>
        <w:jc w:val="both"/>
        <w:rPr>
          <w:rFonts w:ascii="Calibri" w:eastAsia="Calibri" w:hAnsi="Calibri" w:cs="Calibri"/>
          <w:sz w:val="22"/>
          <w:szCs w:val="22"/>
        </w:rPr>
        <w:sectPr w:rsidR="00956820">
          <w:type w:val="continuous"/>
          <w:pgSz w:w="11907" w:h="16840"/>
          <w:pgMar w:top="1701" w:right="1418" w:bottom="1701" w:left="1418" w:header="567" w:footer="567" w:gutter="0"/>
          <w:cols w:space="720"/>
          <w:titlePg/>
        </w:sectPr>
      </w:pPr>
    </w:p>
    <w:p w14:paraId="57BCBDF3" w14:textId="77777777" w:rsidR="00956820" w:rsidRDefault="00956820">
      <w:pPr>
        <w:jc w:val="both"/>
        <w:rPr>
          <w:rFonts w:ascii="Calibri" w:eastAsia="Calibri" w:hAnsi="Calibri" w:cs="Calibri"/>
          <w:sz w:val="22"/>
          <w:szCs w:val="22"/>
        </w:rPr>
      </w:pPr>
    </w:p>
    <w:sectPr w:rsidR="00956820">
      <w:type w:val="continuous"/>
      <w:pgSz w:w="11907" w:h="16840"/>
      <w:pgMar w:top="1701" w:right="1418" w:bottom="1701"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E391E" w14:textId="77777777" w:rsidR="0012128B" w:rsidRDefault="0012128B">
      <w:r>
        <w:separator/>
      </w:r>
    </w:p>
  </w:endnote>
  <w:endnote w:type="continuationSeparator" w:id="0">
    <w:p w14:paraId="05AB7DDF" w14:textId="77777777" w:rsidR="0012128B" w:rsidRDefault="00121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AD26" w14:textId="77777777" w:rsidR="00956820" w:rsidRDefault="0012128B">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D74246">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7BFA4BC4" w14:textId="77777777" w:rsidR="00956820" w:rsidRDefault="0012128B">
    <w:pPr>
      <w:pBdr>
        <w:top w:val="nil"/>
        <w:left w:val="nil"/>
        <w:bottom w:val="nil"/>
        <w:right w:val="nil"/>
        <w:between w:val="nil"/>
      </w:pBdr>
      <w:tabs>
        <w:tab w:val="center" w:pos="4680"/>
        <w:tab w:val="right" w:pos="9360"/>
      </w:tabs>
      <w:rPr>
        <w:rFonts w:ascii="Calibri" w:eastAsia="Calibri" w:hAnsi="Calibri" w:cs="Calibri"/>
        <w:color w:val="000000"/>
        <w:sz w:val="18"/>
        <w:szCs w:val="18"/>
      </w:rPr>
    </w:pPr>
    <w:r>
      <w:rPr>
        <w:rFonts w:ascii="Calibri" w:eastAsia="Calibri" w:hAnsi="Calibri" w:cs="Calibri"/>
        <w:color w:val="000000"/>
        <w:sz w:val="18"/>
        <w:szCs w:val="18"/>
      </w:rPr>
      <w:t>Judul Artikel Ditulis Dengan Huruf Calibri (body) 9pt</w:t>
    </w:r>
  </w:p>
  <w:p w14:paraId="4C398A8D" w14:textId="77777777" w:rsidR="00956820" w:rsidRDefault="0012128B">
    <w:pPr>
      <w:pBdr>
        <w:top w:val="nil"/>
        <w:left w:val="nil"/>
        <w:bottom w:val="nil"/>
        <w:right w:val="nil"/>
        <w:between w:val="nil"/>
      </w:pBdr>
      <w:tabs>
        <w:tab w:val="center" w:pos="4680"/>
        <w:tab w:val="right" w:pos="9360"/>
      </w:tabs>
      <w:rPr>
        <w:color w:val="000000"/>
      </w:rPr>
    </w:pPr>
    <w:r>
      <w:rPr>
        <w:rFonts w:ascii="Calibri" w:eastAsia="Calibri" w:hAnsi="Calibri" w:cs="Calibri"/>
        <w:color w:val="000000"/>
        <w:sz w:val="16"/>
        <w:szCs w:val="16"/>
      </w:rPr>
      <w:t>Nama Penulis 1, Nama Penulis 2, Nama Penulis 3 (8pt)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42939" w14:textId="77777777" w:rsidR="00956820" w:rsidRDefault="0012128B">
    <w:pPr>
      <w:pBdr>
        <w:top w:val="nil"/>
        <w:left w:val="nil"/>
        <w:bottom w:val="nil"/>
        <w:right w:val="nil"/>
        <w:between w:val="nil"/>
      </w:pBdr>
      <w:tabs>
        <w:tab w:val="center" w:pos="4680"/>
        <w:tab w:val="right" w:pos="9360"/>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D74246">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6D1E67D1" w14:textId="77777777" w:rsidR="00956820" w:rsidRDefault="0012128B">
    <w:pPr>
      <w:pBdr>
        <w:top w:val="nil"/>
        <w:left w:val="nil"/>
        <w:bottom w:val="nil"/>
        <w:right w:val="nil"/>
        <w:between w:val="nil"/>
      </w:pBdr>
      <w:tabs>
        <w:tab w:val="center" w:pos="4680"/>
        <w:tab w:val="right" w:pos="9360"/>
      </w:tabs>
      <w:rPr>
        <w:rFonts w:ascii="Calibri" w:eastAsia="Calibri" w:hAnsi="Calibri" w:cs="Calibri"/>
        <w:color w:val="000000"/>
        <w:sz w:val="16"/>
        <w:szCs w:val="16"/>
      </w:rPr>
    </w:pPr>
    <w:r>
      <w:rPr>
        <w:rFonts w:ascii="Calibri" w:eastAsia="Calibri" w:hAnsi="Calibri" w:cs="Calibri"/>
        <w:color w:val="000000"/>
        <w:sz w:val="16"/>
        <w:szCs w:val="16"/>
      </w:rPr>
      <w:t xml:space="preserve">Accredited third rank </w:t>
    </w:r>
    <w:hyperlink r:id="rId1">
      <w:r>
        <w:rPr>
          <w:rFonts w:ascii="Calibri" w:eastAsia="Calibri" w:hAnsi="Calibri" w:cs="Calibri"/>
          <w:color w:val="0000FF"/>
          <w:sz w:val="16"/>
          <w:szCs w:val="16"/>
          <w:u w:val="single"/>
        </w:rPr>
        <w:t>(SINTA 3)</w:t>
      </w:r>
    </w:hyperlink>
    <w:r>
      <w:rPr>
        <w:rFonts w:ascii="Calibri" w:eastAsia="Calibri" w:hAnsi="Calibri" w:cs="Calibri"/>
        <w:color w:val="000000"/>
        <w:sz w:val="16"/>
        <w:szCs w:val="16"/>
      </w:rPr>
      <w:t xml:space="preserve"> based on</w:t>
    </w:r>
    <w:r>
      <w:rPr>
        <w:rFonts w:ascii="Calibri" w:eastAsia="Calibri" w:hAnsi="Calibri" w:cs="Calibri"/>
        <w:color w:val="000000"/>
        <w:sz w:val="22"/>
        <w:szCs w:val="22"/>
      </w:rPr>
      <w:t xml:space="preserve"> </w:t>
    </w:r>
    <w:r>
      <w:rPr>
        <w:rFonts w:ascii="Calibri" w:eastAsia="Calibri" w:hAnsi="Calibri" w:cs="Calibri"/>
        <w:color w:val="000000"/>
        <w:sz w:val="16"/>
        <w:szCs w:val="16"/>
      </w:rPr>
      <w:t xml:space="preserve">Dirjen Diktiristek  </w:t>
    </w:r>
  </w:p>
  <w:p w14:paraId="42819D5C" w14:textId="77777777" w:rsidR="00956820" w:rsidRDefault="0012128B">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sz w:val="16"/>
        <w:szCs w:val="16"/>
      </w:rPr>
      <w:t>No.204/E/KPT/2022.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F943" w14:textId="77777777" w:rsidR="00CD0E94" w:rsidRDefault="00CD0E94">
    <w:pPr>
      <w:tabs>
        <w:tab w:val="center" w:pos="3094"/>
        <w:tab w:val="center" w:pos="8899"/>
      </w:tabs>
      <w:spacing w:line="259" w:lineRule="auto"/>
    </w:pPr>
    <w:r>
      <w:rPr>
        <w:noProof/>
        <w:sz w:val="22"/>
      </w:rPr>
      <mc:AlternateContent>
        <mc:Choice Requires="wpg">
          <w:drawing>
            <wp:anchor distT="0" distB="0" distL="114300" distR="114300" simplePos="0" relativeHeight="251659264" behindDoc="0" locked="0" layoutInCell="1" allowOverlap="1" wp14:anchorId="20DD2A32" wp14:editId="5FA873A3">
              <wp:simplePos x="0" y="0"/>
              <wp:positionH relativeFrom="page">
                <wp:posOffset>1080770</wp:posOffset>
              </wp:positionH>
              <wp:positionV relativeFrom="page">
                <wp:posOffset>9871075</wp:posOffset>
              </wp:positionV>
              <wp:extent cx="5579110" cy="12192"/>
              <wp:effectExtent l="0" t="0" r="0" b="0"/>
              <wp:wrapSquare wrapText="bothSides"/>
              <wp:docPr id="41080" name="Group 41080"/>
              <wp:cNvGraphicFramePr/>
              <a:graphic xmlns:a="http://schemas.openxmlformats.org/drawingml/2006/main">
                <a:graphicData uri="http://schemas.microsoft.com/office/word/2010/wordprocessingGroup">
                  <wpg:wgp>
                    <wpg:cNvGrpSpPr/>
                    <wpg:grpSpPr>
                      <a:xfrm>
                        <a:off x="0" y="0"/>
                        <a:ext cx="5579110" cy="12192"/>
                        <a:chOff x="0" y="0"/>
                        <a:chExt cx="5579110" cy="12192"/>
                      </a:xfrm>
                    </wpg:grpSpPr>
                    <wps:wsp>
                      <wps:cNvPr id="41081" name="Shape 41081"/>
                      <wps:cNvSpPr/>
                      <wps:spPr>
                        <a:xfrm>
                          <a:off x="0" y="0"/>
                          <a:ext cx="5579110" cy="0"/>
                        </a:xfrm>
                        <a:custGeom>
                          <a:avLst/>
                          <a:gdLst/>
                          <a:ahLst/>
                          <a:cxnLst/>
                          <a:rect l="0" t="0" r="0" b="0"/>
                          <a:pathLst>
                            <a:path w="5579110">
                              <a:moveTo>
                                <a:pt x="0" y="0"/>
                              </a:moveTo>
                              <a:lnTo>
                                <a:pt x="5579110" y="0"/>
                              </a:lnTo>
                            </a:path>
                          </a:pathLst>
                        </a:custGeom>
                        <a:noFill/>
                        <a:ln w="12192" cap="flat" cmpd="sng" algn="ctr">
                          <a:solidFill>
                            <a:srgbClr val="231F20"/>
                          </a:solidFill>
                          <a:prstDash val="solid"/>
                          <a:round/>
                        </a:ln>
                        <a:effectLst/>
                      </wps:spPr>
                      <wps:bodyPr/>
                    </wps:wsp>
                  </wpg:wgp>
                </a:graphicData>
              </a:graphic>
            </wp:anchor>
          </w:drawing>
        </mc:Choice>
        <mc:Fallback>
          <w:pict>
            <v:group w14:anchorId="6BF5EA8C" id="Group 41080" o:spid="_x0000_s1026" style="position:absolute;margin-left:85.1pt;margin-top:777.25pt;width:439.3pt;height:.95pt;z-index:251659264;mso-position-horizontal-relative:page;mso-position-vertical-relative:page" coordsize="5579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">
              <v:shape id="Shape 41081" o:spid="_x0000_s1027" style="position:absolute;width:55791;height:0;visibility:visible;mso-wrap-style:square;v-text-anchor:top" coordsize="5579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" path="m,l5579110,e" filled="f" strokecolor="#231f20" strokeweight=".96pt">
                <v:path arrowok="t" textboxrect="0,0,5579110,0"/>
              </v:shape>
              <w10:wrap type="square" anchorx="page" anchory="page"/>
            </v:group>
          </w:pict>
        </mc:Fallback>
      </mc:AlternateContent>
    </w:r>
    <w:r>
      <w:rPr>
        <w:sz w:val="31"/>
        <w:vertAlign w:val="superscript"/>
      </w:rPr>
      <w:t xml:space="preserve"> </w:t>
    </w:r>
    <w:r>
      <w:rPr>
        <w:sz w:val="31"/>
        <w:vertAlign w:val="superscript"/>
      </w:rPr>
      <w:tab/>
    </w:r>
    <w:r>
      <w:rPr>
        <w:rFonts w:ascii="Calibri" w:eastAsia="Calibri" w:hAnsi="Calibri" w:cs="Calibri"/>
        <w:b/>
        <w:color w:val="231F20"/>
        <w:sz w:val="22"/>
      </w:rPr>
      <w:t xml:space="preserve">An Exploration on Language Variations and Host Communication </w:t>
    </w:r>
    <w:r>
      <w:rPr>
        <w:rFonts w:ascii="Calibri" w:eastAsia="Calibri" w:hAnsi="Calibri" w:cs="Calibri"/>
        <w:b/>
        <w:color w:val="231F20"/>
        <w:sz w:val="22"/>
      </w:rPr>
      <w:tab/>
    </w:r>
    <w:r>
      <w:fldChar w:fldCharType="begin"/>
    </w:r>
    <w:r>
      <w:instrText xml:space="preserve"> PAGE   \* MERGEFORMAT </w:instrText>
    </w:r>
    <w:r>
      <w:fldChar w:fldCharType="separate"/>
    </w:r>
    <w:r>
      <w:rPr>
        <w:color w:val="231F20"/>
      </w:rPr>
      <w:t>1</w:t>
    </w:r>
    <w:r>
      <w:rPr>
        <w:color w:val="231F20"/>
      </w:rPr>
      <w:fldChar w:fldCharType="end"/>
    </w:r>
    <w:r>
      <w:t xml:space="preserve"> </w:t>
    </w:r>
  </w:p>
  <w:p w14:paraId="65BD7EA4" w14:textId="77777777" w:rsidR="00CD0E94" w:rsidRDefault="00CD0E94">
    <w:pPr>
      <w:spacing w:line="259" w:lineRule="auto"/>
      <w:ind w:left="262"/>
    </w:pPr>
    <w:r>
      <w:rPr>
        <w:rFonts w:ascii="Calibri" w:eastAsia="Calibri" w:hAnsi="Calibri" w:cs="Calibri"/>
        <w:b/>
        <w:color w:val="231F20"/>
        <w:sz w:val="22"/>
      </w:rPr>
      <w:t>Styles in the Context of Live Streaming Commerce</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3931" w14:textId="77777777" w:rsidR="00CD0E94" w:rsidRDefault="00CD0E94">
    <w:pPr>
      <w:tabs>
        <w:tab w:val="center" w:pos="3094"/>
        <w:tab w:val="center" w:pos="8899"/>
      </w:tabs>
      <w:spacing w:line="259" w:lineRule="auto"/>
    </w:pPr>
    <w:r>
      <w:rPr>
        <w:noProof/>
        <w:sz w:val="22"/>
      </w:rPr>
      <mc:AlternateContent>
        <mc:Choice Requires="wpg">
          <w:drawing>
            <wp:anchor distT="0" distB="0" distL="114300" distR="114300" simplePos="0" relativeHeight="251660288" behindDoc="0" locked="0" layoutInCell="1" allowOverlap="1" wp14:anchorId="5C692C40" wp14:editId="49D36CA4">
              <wp:simplePos x="0" y="0"/>
              <wp:positionH relativeFrom="page">
                <wp:posOffset>1080770</wp:posOffset>
              </wp:positionH>
              <wp:positionV relativeFrom="page">
                <wp:posOffset>9871075</wp:posOffset>
              </wp:positionV>
              <wp:extent cx="5579110" cy="12192"/>
              <wp:effectExtent l="0" t="0" r="0" b="0"/>
              <wp:wrapSquare wrapText="bothSides"/>
              <wp:docPr id="41062" name="Group 41062"/>
              <wp:cNvGraphicFramePr/>
              <a:graphic xmlns:a="http://schemas.openxmlformats.org/drawingml/2006/main">
                <a:graphicData uri="http://schemas.microsoft.com/office/word/2010/wordprocessingGroup">
                  <wpg:wgp>
                    <wpg:cNvGrpSpPr/>
                    <wpg:grpSpPr>
                      <a:xfrm>
                        <a:off x="0" y="0"/>
                        <a:ext cx="5579110" cy="12192"/>
                        <a:chOff x="0" y="0"/>
                        <a:chExt cx="5579110" cy="12192"/>
                      </a:xfrm>
                    </wpg:grpSpPr>
                    <wps:wsp>
                      <wps:cNvPr id="41063" name="Shape 41063"/>
                      <wps:cNvSpPr/>
                      <wps:spPr>
                        <a:xfrm>
                          <a:off x="0" y="0"/>
                          <a:ext cx="5579110" cy="0"/>
                        </a:xfrm>
                        <a:custGeom>
                          <a:avLst/>
                          <a:gdLst/>
                          <a:ahLst/>
                          <a:cxnLst/>
                          <a:rect l="0" t="0" r="0" b="0"/>
                          <a:pathLst>
                            <a:path w="5579110">
                              <a:moveTo>
                                <a:pt x="0" y="0"/>
                              </a:moveTo>
                              <a:lnTo>
                                <a:pt x="5579110" y="0"/>
                              </a:lnTo>
                            </a:path>
                          </a:pathLst>
                        </a:custGeom>
                        <a:noFill/>
                        <a:ln w="12192" cap="flat" cmpd="sng" algn="ctr">
                          <a:solidFill>
                            <a:srgbClr val="231F20"/>
                          </a:solidFill>
                          <a:prstDash val="solid"/>
                          <a:round/>
                        </a:ln>
                        <a:effectLst/>
                      </wps:spPr>
                      <wps:bodyPr/>
                    </wps:wsp>
                  </wpg:wgp>
                </a:graphicData>
              </a:graphic>
            </wp:anchor>
          </w:drawing>
        </mc:Choice>
        <mc:Fallback>
          <w:pict>
            <v:group w14:anchorId="508A1E2A" id="Group 41062" o:spid="_x0000_s1026" style="position:absolute;margin-left:85.1pt;margin-top:777.25pt;width:439.3pt;height:.95pt;z-index:251660288;mso-position-horizontal-relative:page;mso-position-vertical-relative:page" coordsize="5579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">
              <v:shape id="Shape 41063" o:spid="_x0000_s1027" style="position:absolute;width:55791;height:0;visibility:visible;mso-wrap-style:square;v-text-anchor:top" coordsize="5579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" path="m,l5579110,e" filled="f" strokecolor="#231f20" strokeweight=".96pt">
                <v:path arrowok="t" textboxrect="0,0,5579110,0"/>
              </v:shape>
              <w10:wrap type="square" anchorx="page" anchory="page"/>
            </v:group>
          </w:pict>
        </mc:Fallback>
      </mc:AlternateContent>
    </w:r>
    <w:r>
      <w:rPr>
        <w:sz w:val="31"/>
        <w:vertAlign w:val="superscript"/>
      </w:rPr>
      <w:t xml:space="preserve"> </w:t>
    </w:r>
    <w:r>
      <w:rPr>
        <w:sz w:val="31"/>
        <w:vertAlign w:val="superscript"/>
      </w:rPr>
      <w:tab/>
    </w:r>
    <w:r>
      <w:rPr>
        <w:rFonts w:ascii="Calibri" w:eastAsia="Calibri" w:hAnsi="Calibri" w:cs="Calibri"/>
        <w:b/>
        <w:color w:val="231F20"/>
        <w:sz w:val="22"/>
      </w:rPr>
      <w:t xml:space="preserve">An Exploration on Language Variations and Host Communication </w:t>
    </w:r>
    <w:r>
      <w:rPr>
        <w:rFonts w:ascii="Calibri" w:eastAsia="Calibri" w:hAnsi="Calibri" w:cs="Calibri"/>
        <w:b/>
        <w:color w:val="231F20"/>
        <w:sz w:val="22"/>
      </w:rPr>
      <w:tab/>
    </w:r>
    <w:r>
      <w:fldChar w:fldCharType="begin"/>
    </w:r>
    <w:r>
      <w:instrText xml:space="preserve"> PAGE   \* MERGEFORMAT </w:instrText>
    </w:r>
    <w:r>
      <w:fldChar w:fldCharType="separate"/>
    </w:r>
    <w:r>
      <w:rPr>
        <w:color w:val="231F20"/>
      </w:rPr>
      <w:t>1</w:t>
    </w:r>
    <w:r>
      <w:rPr>
        <w:color w:val="231F20"/>
      </w:rPr>
      <w:fldChar w:fldCharType="end"/>
    </w:r>
    <w:r>
      <w:t xml:space="preserve"> </w:t>
    </w:r>
  </w:p>
  <w:p w14:paraId="48C8F8C6" w14:textId="77777777" w:rsidR="00CD0E94" w:rsidRDefault="00CD0E94">
    <w:pPr>
      <w:spacing w:line="259" w:lineRule="auto"/>
      <w:ind w:left="262"/>
    </w:pPr>
    <w:r>
      <w:rPr>
        <w:rFonts w:ascii="Calibri" w:eastAsia="Calibri" w:hAnsi="Calibri" w:cs="Calibri"/>
        <w:b/>
        <w:color w:val="231F20"/>
        <w:sz w:val="22"/>
      </w:rPr>
      <w:t>Styles in the Context of Live Streaming Commerce</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D12E" w14:textId="77777777" w:rsidR="00CD0E94" w:rsidRDefault="00CD0E94">
    <w:pPr>
      <w:tabs>
        <w:tab w:val="center" w:pos="3094"/>
        <w:tab w:val="center" w:pos="8899"/>
      </w:tabs>
      <w:spacing w:line="259" w:lineRule="auto"/>
    </w:pPr>
    <w:r>
      <w:rPr>
        <w:noProof/>
        <w:sz w:val="22"/>
      </w:rPr>
      <mc:AlternateContent>
        <mc:Choice Requires="wpg">
          <w:drawing>
            <wp:anchor distT="0" distB="0" distL="114300" distR="114300" simplePos="0" relativeHeight="251661312" behindDoc="0" locked="0" layoutInCell="1" allowOverlap="1" wp14:anchorId="4EFB9DCD" wp14:editId="25E1B397">
              <wp:simplePos x="0" y="0"/>
              <wp:positionH relativeFrom="page">
                <wp:posOffset>1080770</wp:posOffset>
              </wp:positionH>
              <wp:positionV relativeFrom="page">
                <wp:posOffset>9871075</wp:posOffset>
              </wp:positionV>
              <wp:extent cx="5579110" cy="12192"/>
              <wp:effectExtent l="0" t="0" r="0" b="0"/>
              <wp:wrapSquare wrapText="bothSides"/>
              <wp:docPr id="41044" name="Group 41044"/>
              <wp:cNvGraphicFramePr/>
              <a:graphic xmlns:a="http://schemas.openxmlformats.org/drawingml/2006/main">
                <a:graphicData uri="http://schemas.microsoft.com/office/word/2010/wordprocessingGroup">
                  <wpg:wgp>
                    <wpg:cNvGrpSpPr/>
                    <wpg:grpSpPr>
                      <a:xfrm>
                        <a:off x="0" y="0"/>
                        <a:ext cx="5579110" cy="12192"/>
                        <a:chOff x="0" y="0"/>
                        <a:chExt cx="5579110" cy="12192"/>
                      </a:xfrm>
                    </wpg:grpSpPr>
                    <wps:wsp>
                      <wps:cNvPr id="41045" name="Shape 41045"/>
                      <wps:cNvSpPr/>
                      <wps:spPr>
                        <a:xfrm>
                          <a:off x="0" y="0"/>
                          <a:ext cx="5579110" cy="0"/>
                        </a:xfrm>
                        <a:custGeom>
                          <a:avLst/>
                          <a:gdLst/>
                          <a:ahLst/>
                          <a:cxnLst/>
                          <a:rect l="0" t="0" r="0" b="0"/>
                          <a:pathLst>
                            <a:path w="5579110">
                              <a:moveTo>
                                <a:pt x="0" y="0"/>
                              </a:moveTo>
                              <a:lnTo>
                                <a:pt x="5579110" y="0"/>
                              </a:lnTo>
                            </a:path>
                          </a:pathLst>
                        </a:custGeom>
                        <a:noFill/>
                        <a:ln w="12192" cap="flat" cmpd="sng" algn="ctr">
                          <a:solidFill>
                            <a:srgbClr val="231F20"/>
                          </a:solidFill>
                          <a:prstDash val="solid"/>
                          <a:round/>
                        </a:ln>
                        <a:effectLst/>
                      </wps:spPr>
                      <wps:bodyPr/>
                    </wps:wsp>
                  </wpg:wgp>
                </a:graphicData>
              </a:graphic>
            </wp:anchor>
          </w:drawing>
        </mc:Choice>
        <mc:Fallback>
          <w:pict>
            <v:group w14:anchorId="378C1971" id="Group 41044" o:spid="_x0000_s1026" style="position:absolute;margin-left:85.1pt;margin-top:777.25pt;width:439.3pt;height:.95pt;z-index:251661312;mso-position-horizontal-relative:page;mso-position-vertical-relative:page" coordsize="5579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">
              <v:shape id="Shape 41045" o:spid="_x0000_s1027" style="position:absolute;width:55791;height:0;visibility:visible;mso-wrap-style:square;v-text-anchor:top" coordsize="5579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" path="m,l5579110,e" filled="f" strokecolor="#231f20" strokeweight=".96pt">
                <v:path arrowok="t" textboxrect="0,0,5579110,0"/>
              </v:shape>
              <w10:wrap type="square" anchorx="page" anchory="page"/>
            </v:group>
          </w:pict>
        </mc:Fallback>
      </mc:AlternateContent>
    </w:r>
    <w:r>
      <w:rPr>
        <w:sz w:val="31"/>
        <w:vertAlign w:val="superscript"/>
      </w:rPr>
      <w:t xml:space="preserve"> </w:t>
    </w:r>
    <w:r>
      <w:rPr>
        <w:sz w:val="31"/>
        <w:vertAlign w:val="superscript"/>
      </w:rPr>
      <w:tab/>
    </w:r>
    <w:r>
      <w:rPr>
        <w:rFonts w:ascii="Calibri" w:eastAsia="Calibri" w:hAnsi="Calibri" w:cs="Calibri"/>
        <w:b/>
        <w:color w:val="231F20"/>
        <w:sz w:val="22"/>
      </w:rPr>
      <w:t xml:space="preserve">An Exploration on Language Variations and Host Communication </w:t>
    </w:r>
    <w:r>
      <w:rPr>
        <w:rFonts w:ascii="Calibri" w:eastAsia="Calibri" w:hAnsi="Calibri" w:cs="Calibri"/>
        <w:b/>
        <w:color w:val="231F20"/>
        <w:sz w:val="22"/>
      </w:rPr>
      <w:tab/>
    </w:r>
    <w:r>
      <w:fldChar w:fldCharType="begin"/>
    </w:r>
    <w:r>
      <w:instrText xml:space="preserve"> PAGE   \* MERGEFORMAT </w:instrText>
    </w:r>
    <w:r>
      <w:fldChar w:fldCharType="separate"/>
    </w:r>
    <w:r>
      <w:rPr>
        <w:color w:val="231F20"/>
      </w:rPr>
      <w:t>1</w:t>
    </w:r>
    <w:r>
      <w:rPr>
        <w:color w:val="231F20"/>
      </w:rPr>
      <w:fldChar w:fldCharType="end"/>
    </w:r>
    <w:r>
      <w:t xml:space="preserve"> </w:t>
    </w:r>
  </w:p>
  <w:p w14:paraId="1D99ADE0" w14:textId="77777777" w:rsidR="00CD0E94" w:rsidRDefault="00CD0E94">
    <w:pPr>
      <w:spacing w:line="259" w:lineRule="auto"/>
      <w:ind w:left="262"/>
    </w:pPr>
    <w:r>
      <w:rPr>
        <w:rFonts w:ascii="Calibri" w:eastAsia="Calibri" w:hAnsi="Calibri" w:cs="Calibri"/>
        <w:b/>
        <w:color w:val="231F20"/>
        <w:sz w:val="22"/>
      </w:rPr>
      <w:t>Styles in the Context of Live Streaming Commerce</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3B0B1" w14:textId="77777777" w:rsidR="0012128B" w:rsidRDefault="0012128B">
      <w:r>
        <w:separator/>
      </w:r>
    </w:p>
  </w:footnote>
  <w:footnote w:type="continuationSeparator" w:id="0">
    <w:p w14:paraId="08117A6D" w14:textId="77777777" w:rsidR="0012128B" w:rsidRDefault="00121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5BFE" w14:textId="77777777" w:rsidR="00956820" w:rsidRDefault="0012128B">
    <w:pPr>
      <w:jc w:val="center"/>
      <w:rPr>
        <w:rFonts w:ascii="Calibri" w:eastAsia="Calibri" w:hAnsi="Calibri" w:cs="Calibri"/>
        <w:sz w:val="18"/>
        <w:szCs w:val="18"/>
      </w:rPr>
    </w:pPr>
    <w:bookmarkStart w:id="0" w:name="_heading=h.30j0zll" w:colFirst="0" w:colLast="0"/>
    <w:bookmarkEnd w:id="0"/>
    <w:r>
      <w:rPr>
        <w:rFonts w:ascii="Calibri" w:eastAsia="Calibri" w:hAnsi="Calibri" w:cs="Calibri"/>
        <w:b/>
        <w:sz w:val="18"/>
        <w:szCs w:val="18"/>
      </w:rPr>
      <w:t>WACANA: Jurnal Ilmiah Ilmu Komunikasi</w:t>
    </w:r>
    <w:r>
      <w:rPr>
        <w:rFonts w:ascii="Calibri" w:eastAsia="Calibri" w:hAnsi="Calibri" w:cs="Calibri"/>
        <w:sz w:val="18"/>
        <w:szCs w:val="18"/>
      </w:rPr>
      <w:t>, Volume. XX, No. XX, June 20XX, 1-3</w:t>
    </w:r>
  </w:p>
  <w:p w14:paraId="431ADF6A" w14:textId="77777777" w:rsidR="00956820" w:rsidRDefault="00956820">
    <w:pPr>
      <w:pBdr>
        <w:top w:val="nil"/>
        <w:left w:val="nil"/>
        <w:bottom w:val="nil"/>
        <w:right w:val="nil"/>
        <w:between w:val="nil"/>
      </w:pBdr>
      <w:tabs>
        <w:tab w:val="center" w:pos="4320"/>
        <w:tab w:val="right" w:pos="8640"/>
      </w:tabs>
      <w:ind w:right="360" w:firstLine="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D73F" w14:textId="77777777" w:rsidR="00956820" w:rsidRDefault="0012128B">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648C4929" wp14:editId="74DFA500">
          <wp:extent cx="5252067" cy="851123"/>
          <wp:effectExtent l="0" t="0" r="0" b="0"/>
          <wp:docPr id="1" name="image4.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logo&#10;&#10;Description automatically generated"/>
                  <pic:cNvPicPr preferRelativeResize="0"/>
                </pic:nvPicPr>
                <pic:blipFill>
                  <a:blip r:embed="rId1"/>
                  <a:srcRect t="26786" b="24602"/>
                  <a:stretch>
                    <a:fillRect/>
                  </a:stretch>
                </pic:blipFill>
                <pic:spPr>
                  <a:xfrm>
                    <a:off x="0" y="0"/>
                    <a:ext cx="5252067" cy="8511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C3A0A"/>
    <w:multiLevelType w:val="hybridMultilevel"/>
    <w:tmpl w:val="C560841C"/>
    <w:lvl w:ilvl="0" w:tplc="9B9049D4">
      <w:start w:val="1"/>
      <w:numFmt w:val="decimal"/>
      <w:lvlText w:val="%1"/>
      <w:lvlJc w:val="left"/>
      <w:pPr>
        <w:ind w:left="101"/>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D55016D6">
      <w:start w:val="1"/>
      <w:numFmt w:val="lowerLetter"/>
      <w:lvlText w:val="%2"/>
      <w:lvlJc w:val="left"/>
      <w:pPr>
        <w:ind w:left="31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5E58CA84">
      <w:start w:val="1"/>
      <w:numFmt w:val="lowerRoman"/>
      <w:lvlText w:val="%3"/>
      <w:lvlJc w:val="left"/>
      <w:pPr>
        <w:ind w:left="38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A22A9484">
      <w:start w:val="1"/>
      <w:numFmt w:val="decimal"/>
      <w:lvlText w:val="%4"/>
      <w:lvlJc w:val="left"/>
      <w:pPr>
        <w:ind w:left="46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14E28798">
      <w:start w:val="1"/>
      <w:numFmt w:val="lowerLetter"/>
      <w:lvlText w:val="%5"/>
      <w:lvlJc w:val="left"/>
      <w:pPr>
        <w:ind w:left="5338"/>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7534E3DC">
      <w:start w:val="1"/>
      <w:numFmt w:val="lowerRoman"/>
      <w:lvlText w:val="%6"/>
      <w:lvlJc w:val="left"/>
      <w:pPr>
        <w:ind w:left="6058"/>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3224F6A8">
      <w:start w:val="1"/>
      <w:numFmt w:val="decimal"/>
      <w:lvlText w:val="%7"/>
      <w:lvlJc w:val="left"/>
      <w:pPr>
        <w:ind w:left="6778"/>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1ED64310">
      <w:start w:val="1"/>
      <w:numFmt w:val="lowerLetter"/>
      <w:lvlText w:val="%8"/>
      <w:lvlJc w:val="left"/>
      <w:pPr>
        <w:ind w:left="7498"/>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2690CA18">
      <w:start w:val="1"/>
      <w:numFmt w:val="lowerRoman"/>
      <w:lvlText w:val="%9"/>
      <w:lvlJc w:val="left"/>
      <w:pPr>
        <w:ind w:left="8218"/>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820"/>
    <w:rsid w:val="0012128B"/>
    <w:rsid w:val="00282AF5"/>
    <w:rsid w:val="003C68D8"/>
    <w:rsid w:val="00523715"/>
    <w:rsid w:val="006068D0"/>
    <w:rsid w:val="007865C3"/>
    <w:rsid w:val="00851D00"/>
    <w:rsid w:val="0085561B"/>
    <w:rsid w:val="0089024C"/>
    <w:rsid w:val="008B6717"/>
    <w:rsid w:val="00956820"/>
    <w:rsid w:val="009952CC"/>
    <w:rsid w:val="00A104E4"/>
    <w:rsid w:val="00AB5ED2"/>
    <w:rsid w:val="00BF0EBE"/>
    <w:rsid w:val="00BF1B17"/>
    <w:rsid w:val="00C3504D"/>
    <w:rsid w:val="00CD0E94"/>
    <w:rsid w:val="00D74246"/>
    <w:rsid w:val="00E367DD"/>
    <w:rsid w:val="00FD56A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86F16"/>
  <w15:docId w15:val="{41A28BB9-0F33-4AE1-B484-437D0FD9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7DD"/>
  </w:style>
  <w:style w:type="paragraph" w:styleId="Heading1">
    <w:name w:val="heading 1"/>
    <w:basedOn w:val="Normal"/>
    <w:next w:val="Normal"/>
    <w:uiPriority w:val="9"/>
    <w:qFormat/>
    <w:rsid w:val="00243FFC"/>
    <w:pPr>
      <w:keepNext/>
      <w:spacing w:line="480" w:lineRule="auto"/>
      <w:jc w:val="center"/>
      <w:outlineLvl w:val="0"/>
    </w:pPr>
    <w:rPr>
      <w:b/>
    </w:rPr>
  </w:style>
  <w:style w:type="paragraph" w:styleId="Heading2">
    <w:name w:val="heading 2"/>
    <w:basedOn w:val="Normal"/>
    <w:next w:val="Normal"/>
    <w:uiPriority w:val="9"/>
    <w:semiHidden/>
    <w:unhideWhenUsed/>
    <w:qFormat/>
    <w:rsid w:val="00243FFC"/>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rsid w:val="00243FFC"/>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rsid w:val="00243FFC"/>
    <w:pPr>
      <w:keepNext/>
      <w:spacing w:before="240" w:after="60"/>
      <w:outlineLvl w:val="3"/>
    </w:pPr>
    <w:rPr>
      <w:b/>
      <w:sz w:val="28"/>
      <w:szCs w:val="28"/>
    </w:rPr>
  </w:style>
  <w:style w:type="paragraph" w:styleId="Heading5">
    <w:name w:val="heading 5"/>
    <w:basedOn w:val="Normal"/>
    <w:next w:val="Normal"/>
    <w:link w:val="Heading5Char"/>
    <w:uiPriority w:val="9"/>
    <w:semiHidden/>
    <w:unhideWhenUsed/>
    <w:qFormat/>
    <w:rsid w:val="00243FFC"/>
    <w:pPr>
      <w:spacing w:before="240" w:after="60"/>
      <w:outlineLvl w:val="4"/>
    </w:pPr>
    <w:rPr>
      <w:b/>
      <w:i/>
      <w:sz w:val="26"/>
      <w:szCs w:val="26"/>
    </w:rPr>
  </w:style>
  <w:style w:type="paragraph" w:styleId="Heading6">
    <w:name w:val="heading 6"/>
    <w:basedOn w:val="Normal"/>
    <w:next w:val="Normal"/>
    <w:uiPriority w:val="9"/>
    <w:semiHidden/>
    <w:unhideWhenUsed/>
    <w:qFormat/>
    <w:rsid w:val="00243FFC"/>
    <w:pPr>
      <w:keepNext/>
      <w:jc w:val="center"/>
      <w:outlineLvl w:val="5"/>
    </w:pPr>
    <w:rPr>
      <w:b/>
      <w:i/>
      <w:u w:val="single"/>
    </w:rPr>
  </w:style>
  <w:style w:type="paragraph" w:styleId="Heading7">
    <w:name w:val="heading 7"/>
    <w:basedOn w:val="Normal"/>
    <w:next w:val="Normal"/>
    <w:link w:val="Heading7Char"/>
    <w:uiPriority w:val="99"/>
    <w:qFormat/>
    <w:rsid w:val="00E604AB"/>
    <w:pPr>
      <w:spacing w:before="240" w:after="60"/>
      <w:ind w:left="1296" w:hanging="1296"/>
      <w:outlineLvl w:val="6"/>
    </w:pPr>
    <w:rPr>
      <w:sz w:val="24"/>
      <w:szCs w:val="24"/>
      <w:lang w:val="id-ID"/>
    </w:rPr>
  </w:style>
  <w:style w:type="paragraph" w:styleId="Heading8">
    <w:name w:val="heading 8"/>
    <w:basedOn w:val="Normal"/>
    <w:next w:val="Normal"/>
    <w:link w:val="Heading8Char"/>
    <w:uiPriority w:val="9"/>
    <w:semiHidden/>
    <w:unhideWhenUsed/>
    <w:qFormat/>
    <w:rsid w:val="00E604AB"/>
    <w:pPr>
      <w:keepNext/>
      <w:keepLines/>
      <w:spacing w:before="40"/>
      <w:ind w:left="1440" w:hanging="1440"/>
      <w:outlineLvl w:val="7"/>
    </w:pPr>
    <w:rPr>
      <w:rFonts w:ascii="Cambria" w:hAnsi="Cambria"/>
      <w:color w:val="272727"/>
      <w:sz w:val="21"/>
      <w:szCs w:val="21"/>
      <w:lang w:val="id-ID"/>
    </w:rPr>
  </w:style>
  <w:style w:type="paragraph" w:styleId="Heading9">
    <w:name w:val="heading 9"/>
    <w:basedOn w:val="Normal"/>
    <w:next w:val="Normal"/>
    <w:link w:val="Heading9Char"/>
    <w:uiPriority w:val="9"/>
    <w:semiHidden/>
    <w:unhideWhenUsed/>
    <w:qFormat/>
    <w:rsid w:val="00E604AB"/>
    <w:pPr>
      <w:keepNext/>
      <w:keepLines/>
      <w:spacing w:before="40"/>
      <w:ind w:left="1584" w:hanging="1584"/>
      <w:outlineLvl w:val="8"/>
    </w:pPr>
    <w:rPr>
      <w:rFonts w:ascii="Cambria" w:hAnsi="Cambria"/>
      <w:i/>
      <w:iCs/>
      <w:color w:val="272727"/>
      <w:sz w:val="21"/>
      <w:szCs w:val="21"/>
      <w:lang w:val="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43FFC"/>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rsid w:val="00243FFC"/>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39755A"/>
    <w:rPr>
      <w:rFonts w:ascii="Tahoma" w:hAnsi="Tahoma" w:cs="Tahoma"/>
      <w:sz w:val="16"/>
      <w:szCs w:val="16"/>
    </w:rPr>
  </w:style>
  <w:style w:type="character" w:customStyle="1" w:styleId="BalloonTextChar">
    <w:name w:val="Balloon Text Char"/>
    <w:link w:val="BalloonText"/>
    <w:uiPriority w:val="99"/>
    <w:semiHidden/>
    <w:rsid w:val="0039755A"/>
    <w:rPr>
      <w:rFonts w:ascii="Tahoma" w:hAnsi="Tahoma" w:cs="Tahoma"/>
      <w:sz w:val="16"/>
      <w:szCs w:val="16"/>
    </w:rPr>
  </w:style>
  <w:style w:type="paragraph" w:styleId="Header">
    <w:name w:val="header"/>
    <w:basedOn w:val="Normal"/>
    <w:link w:val="HeaderChar"/>
    <w:uiPriority w:val="99"/>
    <w:unhideWhenUsed/>
    <w:rsid w:val="0039755A"/>
    <w:pPr>
      <w:tabs>
        <w:tab w:val="center" w:pos="4680"/>
        <w:tab w:val="right" w:pos="9360"/>
      </w:tabs>
    </w:pPr>
  </w:style>
  <w:style w:type="character" w:customStyle="1" w:styleId="HeaderChar">
    <w:name w:val="Header Char"/>
    <w:basedOn w:val="DefaultParagraphFont"/>
    <w:link w:val="Header"/>
    <w:uiPriority w:val="99"/>
    <w:rsid w:val="0039755A"/>
  </w:style>
  <w:style w:type="paragraph" w:styleId="Footer">
    <w:name w:val="footer"/>
    <w:basedOn w:val="Normal"/>
    <w:link w:val="FooterChar"/>
    <w:uiPriority w:val="99"/>
    <w:unhideWhenUsed/>
    <w:rsid w:val="0039755A"/>
    <w:pPr>
      <w:tabs>
        <w:tab w:val="center" w:pos="4680"/>
        <w:tab w:val="right" w:pos="9360"/>
      </w:tabs>
    </w:pPr>
  </w:style>
  <w:style w:type="character" w:customStyle="1" w:styleId="FooterChar">
    <w:name w:val="Footer Char"/>
    <w:basedOn w:val="DefaultParagraphFont"/>
    <w:link w:val="Footer"/>
    <w:uiPriority w:val="99"/>
    <w:rsid w:val="0039755A"/>
  </w:style>
  <w:style w:type="paragraph" w:styleId="NoSpacing">
    <w:name w:val="No Spacing"/>
    <w:uiPriority w:val="1"/>
    <w:qFormat/>
    <w:rsid w:val="00055739"/>
    <w:rPr>
      <w:sz w:val="24"/>
      <w:szCs w:val="24"/>
      <w:lang w:val="id-ID"/>
    </w:rPr>
  </w:style>
  <w:style w:type="paragraph" w:styleId="BodyText">
    <w:name w:val="Body Text"/>
    <w:basedOn w:val="Normal"/>
    <w:link w:val="BodyTextChar"/>
    <w:uiPriority w:val="99"/>
    <w:rsid w:val="00C44A51"/>
    <w:pPr>
      <w:spacing w:line="480" w:lineRule="auto"/>
      <w:jc w:val="lowKashida"/>
    </w:pPr>
    <w:rPr>
      <w:rFonts w:cs="Traditional Arabic"/>
      <w:sz w:val="24"/>
      <w:szCs w:val="28"/>
    </w:rPr>
  </w:style>
  <w:style w:type="character" w:customStyle="1" w:styleId="BodyTextChar">
    <w:name w:val="Body Text Char"/>
    <w:link w:val="BodyText"/>
    <w:uiPriority w:val="99"/>
    <w:rsid w:val="00C44A51"/>
    <w:rPr>
      <w:rFonts w:cs="Traditional Arabic"/>
      <w:sz w:val="24"/>
      <w:szCs w:val="28"/>
    </w:rPr>
  </w:style>
  <w:style w:type="character" w:styleId="Emphasis">
    <w:name w:val="Emphasis"/>
    <w:uiPriority w:val="20"/>
    <w:qFormat/>
    <w:rsid w:val="005B6554"/>
    <w:rPr>
      <w:i/>
      <w:iCs/>
    </w:rPr>
  </w:style>
  <w:style w:type="character" w:customStyle="1" w:styleId="apple-converted-space">
    <w:name w:val="apple-converted-space"/>
    <w:rsid w:val="005B6554"/>
  </w:style>
  <w:style w:type="character" w:customStyle="1" w:styleId="Heading7Char">
    <w:name w:val="Heading 7 Char"/>
    <w:link w:val="Heading7"/>
    <w:uiPriority w:val="99"/>
    <w:rsid w:val="00E604AB"/>
    <w:rPr>
      <w:sz w:val="24"/>
      <w:szCs w:val="24"/>
      <w:lang w:val="id-ID" w:eastAsia="en-US"/>
    </w:rPr>
  </w:style>
  <w:style w:type="character" w:customStyle="1" w:styleId="Heading8Char">
    <w:name w:val="Heading 8 Char"/>
    <w:link w:val="Heading8"/>
    <w:uiPriority w:val="9"/>
    <w:semiHidden/>
    <w:rsid w:val="00E604AB"/>
    <w:rPr>
      <w:rFonts w:ascii="Cambria" w:hAnsi="Cambria"/>
      <w:color w:val="272727"/>
      <w:sz w:val="21"/>
      <w:szCs w:val="21"/>
      <w:lang w:val="id-ID" w:eastAsia="en-US"/>
    </w:rPr>
  </w:style>
  <w:style w:type="character" w:customStyle="1" w:styleId="Heading9Char">
    <w:name w:val="Heading 9 Char"/>
    <w:link w:val="Heading9"/>
    <w:uiPriority w:val="9"/>
    <w:semiHidden/>
    <w:rsid w:val="00E604AB"/>
    <w:rPr>
      <w:rFonts w:ascii="Cambria" w:hAnsi="Cambria"/>
      <w:i/>
      <w:iCs/>
      <w:color w:val="272727"/>
      <w:sz w:val="21"/>
      <w:szCs w:val="21"/>
      <w:lang w:val="id-ID" w:eastAsia="en-US"/>
    </w:rPr>
  </w:style>
  <w:style w:type="character" w:customStyle="1" w:styleId="Heading5Char">
    <w:name w:val="Heading 5 Char"/>
    <w:link w:val="Heading5"/>
    <w:uiPriority w:val="9"/>
    <w:rsid w:val="00E604AB"/>
    <w:rPr>
      <w:b/>
      <w:i/>
      <w:sz w:val="26"/>
      <w:szCs w:val="26"/>
      <w:lang w:val="en-US" w:eastAsia="en-US"/>
    </w:rPr>
  </w:style>
  <w:style w:type="paragraph" w:styleId="NormalWeb">
    <w:name w:val="Normal (Web)"/>
    <w:basedOn w:val="Normal"/>
    <w:uiPriority w:val="99"/>
    <w:semiHidden/>
    <w:unhideWhenUsed/>
    <w:rsid w:val="007E4F12"/>
    <w:pPr>
      <w:spacing w:before="100" w:beforeAutospacing="1" w:after="100" w:afterAutospacing="1"/>
    </w:pPr>
    <w:rPr>
      <w:sz w:val="24"/>
      <w:szCs w:val="24"/>
    </w:rPr>
  </w:style>
  <w:style w:type="character" w:styleId="Hyperlink">
    <w:name w:val="Hyperlink"/>
    <w:basedOn w:val="DefaultParagraphFont"/>
    <w:uiPriority w:val="99"/>
    <w:unhideWhenUsed/>
    <w:rsid w:val="005A3326"/>
    <w:rPr>
      <w:color w:val="0000FF" w:themeColor="hyperlink"/>
      <w:u w:val="single"/>
    </w:rPr>
  </w:style>
  <w:style w:type="paragraph" w:customStyle="1" w:styleId="Default">
    <w:name w:val="Default"/>
    <w:rsid w:val="005A3326"/>
    <w:pPr>
      <w:autoSpaceDE w:val="0"/>
      <w:autoSpaceDN w:val="0"/>
      <w:adjustRightInd w:val="0"/>
    </w:pPr>
    <w:rPr>
      <w:color w:val="000000"/>
      <w:sz w:val="24"/>
      <w:szCs w:val="24"/>
    </w:rPr>
  </w:style>
  <w:style w:type="character" w:customStyle="1" w:styleId="A6">
    <w:name w:val="A6"/>
    <w:uiPriority w:val="99"/>
    <w:rsid w:val="005A3326"/>
    <w:rPr>
      <w:color w:val="221E1F"/>
      <w:sz w:val="18"/>
      <w:szCs w:val="18"/>
    </w:r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72A8A"/>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C00D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TableGrid0">
    <w:name w:val="TableGrid"/>
    <w:rsid w:val="00AB5ED2"/>
    <w:rPr>
      <w:rFonts w:ascii="Calibri" w:hAnsi="Calibri"/>
      <w:sz w:val="22"/>
      <w:szCs w:val="22"/>
      <w:lang w:val="en-ID"/>
    </w:rPr>
    <w:tblPr>
      <w:tblCellMar>
        <w:top w:w="0" w:type="dxa"/>
        <w:left w:w="0" w:type="dxa"/>
        <w:bottom w:w="0" w:type="dxa"/>
        <w:right w:w="0" w:type="dxa"/>
      </w:tblCellMar>
    </w:tblPr>
  </w:style>
  <w:style w:type="table" w:customStyle="1" w:styleId="TableGrid1">
    <w:name w:val="TableGrid1"/>
    <w:rsid w:val="00CD0E94"/>
    <w:rPr>
      <w:rFonts w:ascii="Calibri" w:hAnsi="Calibri"/>
      <w:sz w:val="22"/>
      <w:szCs w:val="22"/>
      <w:lang w:val="en-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s://sinta.kemdikbud.go.id/journals?q=2598740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8C9462-D371-4381-926E-07E9F05696AB}">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uDaFbnt50FCq/6BdxqXyTGi3Pw==">CgMxLjAyCWguMzBqMHpsbDgAciExRXVFbHllX3ZKLUtXUmFCVFdtVm16YjdSYVBhVllsLWE=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ADACF7-7F32-4C23-B32A-F1BC736F3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22</Pages>
  <Words>10489</Words>
  <Characters>59793</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dc:creator>
  <cp:lastModifiedBy>husni mubarok</cp:lastModifiedBy>
  <cp:revision>9</cp:revision>
  <dcterms:created xsi:type="dcterms:W3CDTF">2023-11-29T06:05:00Z</dcterms:created>
  <dcterms:modified xsi:type="dcterms:W3CDTF">2023-11-29T08:21:00Z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91014a50-7f76-3346-9166-a83acfb7801c</vt:lpwstr>
  </property>
</Properties>
</file>