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C69" w:rsidRDefault="006D3704">
      <w:pPr>
        <w:pBdr>
          <w:top w:val="nil"/>
          <w:left w:val="nil"/>
          <w:bottom w:val="nil"/>
          <w:right w:val="nil"/>
          <w:between w:val="nil"/>
        </w:pBdr>
        <w:spacing w:line="276" w:lineRule="auto"/>
        <w:ind w:left="180"/>
        <w:jc w:val="center"/>
        <w:rPr>
          <w:b/>
          <w:color w:val="000000"/>
          <w:sz w:val="28"/>
          <w:szCs w:val="28"/>
        </w:rPr>
      </w:pPr>
      <w:r w:rsidRPr="006D3704">
        <w:rPr>
          <w:b/>
          <w:bCs/>
          <w:color w:val="000000"/>
          <w:sz w:val="28"/>
          <w:szCs w:val="28"/>
          <w:lang w:val="nb-NO"/>
        </w:rPr>
        <w:t xml:space="preserve">Kinerja PT. Smartfren Telecom Tbk </w:t>
      </w:r>
      <w:r w:rsidRPr="006D3704">
        <w:rPr>
          <w:b/>
          <w:bCs/>
          <w:color w:val="000000"/>
          <w:sz w:val="28"/>
          <w:szCs w:val="28"/>
          <w:lang w:val="en-US"/>
        </w:rPr>
        <w:t>Melalui Analisis Rasio Keuangan</w:t>
      </w:r>
    </w:p>
    <w:p w:rsidR="00254C69" w:rsidRDefault="00254C69">
      <w:pPr>
        <w:spacing w:line="276" w:lineRule="auto"/>
        <w:ind w:left="180"/>
        <w:jc w:val="center"/>
        <w:rPr>
          <w:b/>
          <w:color w:val="000000"/>
          <w:sz w:val="28"/>
          <w:szCs w:val="28"/>
        </w:rPr>
      </w:pPr>
    </w:p>
    <w:p w:rsidR="00254C69" w:rsidRDefault="00254C69">
      <w:pPr>
        <w:spacing w:line="276" w:lineRule="auto"/>
        <w:ind w:left="180"/>
        <w:jc w:val="center"/>
        <w:rPr>
          <w:b/>
        </w:rPr>
      </w:pPr>
    </w:p>
    <w:p w:rsidR="00254C69" w:rsidRDefault="006D3704">
      <w:pPr>
        <w:ind w:left="180"/>
        <w:jc w:val="center"/>
      </w:pPr>
      <w:r w:rsidRPr="002B2E77">
        <w:rPr>
          <w:b/>
          <w:bCs/>
        </w:rPr>
        <w:t>Dwiwahjuni Wulandari</w:t>
      </w:r>
      <w:r w:rsidR="005F6436">
        <w:rPr>
          <w:b/>
        </w:rPr>
        <w:t xml:space="preserve"> </w:t>
      </w:r>
      <w:r w:rsidR="005F6436">
        <w:rPr>
          <w:b/>
          <w:vertAlign w:val="superscript"/>
        </w:rPr>
        <w:t>1</w:t>
      </w:r>
      <w:r w:rsidR="005F6436">
        <w:rPr>
          <w:b/>
        </w:rPr>
        <w:t xml:space="preserve">, </w:t>
      </w:r>
      <w:r w:rsidRPr="006D3704">
        <w:rPr>
          <w:b/>
        </w:rPr>
        <w:t>N</w:t>
      </w:r>
      <w:r w:rsidRPr="006D3704">
        <w:rPr>
          <w:b/>
          <w:lang w:val="en-US"/>
        </w:rPr>
        <w:t>unuk Novianti</w:t>
      </w:r>
      <w:r w:rsidR="005F6436">
        <w:rPr>
          <w:b/>
        </w:rPr>
        <w:t xml:space="preserve"> </w:t>
      </w:r>
      <w:r w:rsidR="005F6436">
        <w:rPr>
          <w:b/>
          <w:vertAlign w:val="superscript"/>
        </w:rPr>
        <w:t>2</w:t>
      </w:r>
    </w:p>
    <w:p w:rsidR="00254C69" w:rsidRDefault="00254C69">
      <w:pPr>
        <w:ind w:left="180"/>
        <w:jc w:val="center"/>
      </w:pPr>
    </w:p>
    <w:p w:rsidR="00254C69" w:rsidRDefault="006D3704">
      <w:pPr>
        <w:ind w:left="180"/>
        <w:jc w:val="center"/>
      </w:pPr>
      <w:r w:rsidRPr="006D3704">
        <w:rPr>
          <w:lang w:val="nb-NO"/>
        </w:rPr>
        <w:t>Universitas Bina Insani</w:t>
      </w:r>
    </w:p>
    <w:p w:rsidR="00254C69" w:rsidRDefault="006D3704">
      <w:pPr>
        <w:ind w:left="180"/>
        <w:jc w:val="center"/>
      </w:pPr>
      <w:r w:rsidRPr="006D3704">
        <w:rPr>
          <w:lang w:val="nb-NO"/>
        </w:rPr>
        <w:t>dwiwahjuni@binainsani.ac.id; nunuknovianti@binainsani.ac.id</w:t>
      </w:r>
    </w:p>
    <w:p w:rsidR="00254C69" w:rsidRDefault="00254C69">
      <w:pPr>
        <w:spacing w:line="276" w:lineRule="auto"/>
        <w:ind w:left="180"/>
        <w:jc w:val="center"/>
        <w:rPr>
          <w:sz w:val="20"/>
          <w:szCs w:val="20"/>
        </w:rPr>
      </w:pPr>
    </w:p>
    <w:p w:rsidR="00254C69" w:rsidRDefault="00254C69">
      <w:pPr>
        <w:spacing w:line="276" w:lineRule="auto"/>
        <w:ind w:left="180"/>
        <w:jc w:val="center"/>
        <w:rPr>
          <w:b/>
          <w:sz w:val="20"/>
          <w:szCs w:val="20"/>
        </w:rPr>
      </w:pPr>
    </w:p>
    <w:p w:rsidR="00254C69" w:rsidRDefault="005F6436">
      <w:pPr>
        <w:pBdr>
          <w:top w:val="nil"/>
          <w:left w:val="nil"/>
          <w:bottom w:val="nil"/>
          <w:right w:val="nil"/>
          <w:between w:val="nil"/>
        </w:pBdr>
        <w:ind w:left="180"/>
        <w:rPr>
          <w:b/>
          <w:i/>
          <w:color w:val="000000"/>
          <w:sz w:val="22"/>
          <w:szCs w:val="22"/>
        </w:rPr>
      </w:pPr>
      <w:r>
        <w:rPr>
          <w:b/>
          <w:i/>
          <w:color w:val="000000"/>
          <w:sz w:val="22"/>
          <w:szCs w:val="22"/>
        </w:rPr>
        <w:t xml:space="preserve">ABSTRACT </w:t>
      </w:r>
    </w:p>
    <w:p w:rsidR="00254C69" w:rsidRDefault="006D3704">
      <w:pPr>
        <w:pBdr>
          <w:top w:val="nil"/>
          <w:left w:val="nil"/>
          <w:bottom w:val="nil"/>
          <w:right w:val="nil"/>
          <w:between w:val="nil"/>
        </w:pBdr>
        <w:ind w:left="180"/>
        <w:jc w:val="both"/>
        <w:rPr>
          <w:b/>
          <w:i/>
          <w:color w:val="000000"/>
          <w:sz w:val="22"/>
          <w:szCs w:val="22"/>
        </w:rPr>
      </w:pPr>
      <w:r w:rsidRPr="006D3704">
        <w:rPr>
          <w:bCs/>
          <w:i/>
          <w:color w:val="000000"/>
          <w:sz w:val="22"/>
          <w:szCs w:val="22"/>
          <w:lang w:val="en-US"/>
        </w:rPr>
        <w:t>PT Smartfren Telecom Tbk is a business unit of the Sinarmas Group engaged in the business of telecommunications service providers. Good financial management is very important for providers like Smartfren to maintain business profits. The most widely used in financial statement analysis is the calculation of financial ratios, also known as financial ratio analysis. The purpose of this study is to measure the performance of PT Smartfren Telecom Tbk analyzed through financial ratio analysis based on the financial statements of PT Smartfren Telecom Tbk 2018-2022. This study uses quantitative methods and secondary data sources from the 2018-2022 financial statements of PT. Smartfren Telecom Tbk. The analysis method used in this research is descriptive statistical analysis which aims to explain current trends by describing individual or group characteristics. The study shows that between 2018 and 2022, PT. Smartfren Telecom Tbk's financial situation is not good. The current ratio is below the industry standard of 1 to 5. The debt ratio is above 100% and above the industry average of 90%. Our debt to asset ratio is higher than the industry average of 35%. Net profit margin is lower than the industry standard average of 20%. Therefore, it is necessary to make strategic decisions, especially those related to the company's financial performance.</w:t>
      </w:r>
    </w:p>
    <w:p w:rsidR="00254C69" w:rsidRDefault="00254C69">
      <w:pPr>
        <w:pBdr>
          <w:top w:val="nil"/>
          <w:left w:val="nil"/>
          <w:bottom w:val="nil"/>
          <w:right w:val="nil"/>
          <w:between w:val="nil"/>
        </w:pBdr>
        <w:ind w:left="180"/>
        <w:rPr>
          <w:b/>
          <w:i/>
          <w:color w:val="000000"/>
          <w:sz w:val="22"/>
          <w:szCs w:val="22"/>
        </w:rPr>
      </w:pPr>
    </w:p>
    <w:p w:rsidR="00254C69" w:rsidRDefault="005F6436">
      <w:pPr>
        <w:pBdr>
          <w:top w:val="nil"/>
          <w:left w:val="nil"/>
          <w:bottom w:val="nil"/>
          <w:right w:val="nil"/>
          <w:between w:val="nil"/>
        </w:pBdr>
        <w:ind w:left="180"/>
        <w:rPr>
          <w:i/>
          <w:color w:val="000000"/>
          <w:sz w:val="22"/>
          <w:szCs w:val="22"/>
        </w:rPr>
      </w:pPr>
      <w:r>
        <w:rPr>
          <w:b/>
          <w:i/>
          <w:color w:val="000000"/>
          <w:sz w:val="22"/>
          <w:szCs w:val="22"/>
        </w:rPr>
        <w:t xml:space="preserve">Keywords: </w:t>
      </w:r>
      <w:r w:rsidR="006D3704" w:rsidRPr="006D3704">
        <w:rPr>
          <w:i/>
          <w:iCs/>
          <w:color w:val="000000"/>
          <w:sz w:val="22"/>
          <w:szCs w:val="22"/>
          <w:lang w:val="en-US"/>
        </w:rPr>
        <w:t>Financial Statements, Financial Ratios, Industry Standards.</w:t>
      </w:r>
    </w:p>
    <w:p w:rsidR="00254C69" w:rsidRDefault="00254C69">
      <w:pPr>
        <w:pBdr>
          <w:top w:val="nil"/>
          <w:left w:val="nil"/>
          <w:bottom w:val="nil"/>
          <w:right w:val="nil"/>
          <w:between w:val="nil"/>
        </w:pBdr>
        <w:ind w:left="180"/>
        <w:rPr>
          <w:color w:val="000000"/>
          <w:sz w:val="22"/>
          <w:szCs w:val="22"/>
        </w:rPr>
      </w:pPr>
    </w:p>
    <w:p w:rsidR="00254C69" w:rsidRDefault="00254C69">
      <w:pPr>
        <w:pBdr>
          <w:top w:val="nil"/>
          <w:left w:val="nil"/>
          <w:bottom w:val="nil"/>
          <w:right w:val="nil"/>
          <w:between w:val="nil"/>
        </w:pBdr>
        <w:ind w:left="180"/>
        <w:rPr>
          <w:color w:val="000000"/>
          <w:sz w:val="22"/>
          <w:szCs w:val="22"/>
        </w:rPr>
      </w:pPr>
    </w:p>
    <w:p w:rsidR="00254C69" w:rsidRDefault="005F6436">
      <w:pPr>
        <w:ind w:left="180"/>
        <w:rPr>
          <w:b/>
          <w:sz w:val="22"/>
          <w:szCs w:val="22"/>
        </w:rPr>
      </w:pPr>
      <w:r>
        <w:rPr>
          <w:b/>
          <w:sz w:val="22"/>
          <w:szCs w:val="22"/>
        </w:rPr>
        <w:t xml:space="preserve">ABSTRAK </w:t>
      </w:r>
    </w:p>
    <w:p w:rsidR="00254C69" w:rsidRDefault="006D3704">
      <w:pPr>
        <w:pBdr>
          <w:top w:val="nil"/>
          <w:left w:val="nil"/>
          <w:bottom w:val="nil"/>
          <w:right w:val="nil"/>
          <w:between w:val="nil"/>
        </w:pBdr>
        <w:ind w:left="180"/>
        <w:jc w:val="both"/>
        <w:rPr>
          <w:b/>
          <w:color w:val="000000"/>
          <w:sz w:val="22"/>
          <w:szCs w:val="22"/>
        </w:rPr>
      </w:pPr>
      <w:r w:rsidRPr="006D3704">
        <w:rPr>
          <w:i/>
          <w:color w:val="000000"/>
          <w:sz w:val="22"/>
          <w:szCs w:val="22"/>
          <w:lang w:val="nb-NO"/>
        </w:rPr>
        <w:t>PT Smartfren Telecom Tbk merupakan  unit bisnis Grup Sinarmas  yang bergerak dalam bisnis penyedia layanan telekomunikasi. Pengelolaan keuangan yang baik sangat penting bagi penyedia seperti Smartfren untuk menjaga keuntungan bisnis. Yang paling banyak digunakan dalam analisis laporan keuangan adalah perhitungan rasio keuangan yang disebut juga dengan analisis rasio keuangan. Tujuan dari penelitian ini adalah untuk mengukur kinerja PT. Smartfren Telecom Tbk dianalisis melalui analisis rasio keuangan berdasarkan laporan keuangan PT. Smartfren Telecom Tbk  2018-2022. Penelitian ini menggunakan metode kuantitatif dan sumber data sekunder dari laporan keuangan PT. Smartfren Telecom Tbk  2018-2022. Metode analisis yang digunakan dalam penelitian ini adalah analisis statistik deskriptif yang bertujuan untuk menjelaskan kecenderungan yang terjadi saat ini dengan mendeskripsikan karakteristik individu atau kelompok. Studi menunjukkan bahwa antara tahun 2018 hingga 2022, PT. Situasi keuangan Smartfren Telecom Tbk  kurang baik. Rasio lancar berada di bawah standar industri yaitu 1 banding 5. Rasio utang di atas 100% dan di atas rata-rata industri sebesar 90%. Rasio utang terhadap aset kami lebih tinggi dari rata-rata industri sebesar 35%. Margin laba bersih lebih rendah dari rata-rata standar industri sebesar 20%. Oleh karena itu, perlu diambil keputusan-keputusan strategis  khususnya yang berkaitan dengan kinerja keuangan perusahaan.</w:t>
      </w:r>
    </w:p>
    <w:p w:rsidR="00254C69" w:rsidRDefault="00254C69">
      <w:pPr>
        <w:pBdr>
          <w:top w:val="nil"/>
          <w:left w:val="nil"/>
          <w:bottom w:val="nil"/>
          <w:right w:val="nil"/>
          <w:between w:val="nil"/>
        </w:pBdr>
        <w:ind w:left="180"/>
        <w:rPr>
          <w:color w:val="000000"/>
          <w:sz w:val="22"/>
          <w:szCs w:val="22"/>
        </w:rPr>
      </w:pPr>
    </w:p>
    <w:p w:rsidR="00254C69" w:rsidRDefault="005F6436">
      <w:pPr>
        <w:pBdr>
          <w:top w:val="nil"/>
          <w:left w:val="nil"/>
          <w:bottom w:val="nil"/>
          <w:right w:val="nil"/>
          <w:between w:val="nil"/>
        </w:pBdr>
        <w:ind w:left="180"/>
        <w:rPr>
          <w:i/>
          <w:iCs/>
          <w:color w:val="000000"/>
          <w:sz w:val="22"/>
          <w:szCs w:val="22"/>
          <w:lang w:val="nb-NO"/>
        </w:rPr>
      </w:pPr>
      <w:r>
        <w:rPr>
          <w:b/>
          <w:color w:val="000000"/>
          <w:sz w:val="22"/>
          <w:szCs w:val="22"/>
        </w:rPr>
        <w:t xml:space="preserve">Kata Kunci: </w:t>
      </w:r>
      <w:r w:rsidR="006D3704" w:rsidRPr="006D3704">
        <w:rPr>
          <w:i/>
          <w:iCs/>
          <w:color w:val="000000"/>
          <w:sz w:val="22"/>
          <w:szCs w:val="22"/>
        </w:rPr>
        <w:t>Laporan Keuangan</w:t>
      </w:r>
      <w:r w:rsidR="006D3704" w:rsidRPr="006D3704">
        <w:rPr>
          <w:i/>
          <w:iCs/>
          <w:color w:val="000000"/>
          <w:sz w:val="22"/>
          <w:szCs w:val="22"/>
          <w:lang w:val="nb-NO"/>
        </w:rPr>
        <w:t>, Rasio</w:t>
      </w:r>
      <w:r w:rsidR="006D3704" w:rsidRPr="006D3704">
        <w:rPr>
          <w:i/>
          <w:iCs/>
          <w:color w:val="000000"/>
          <w:sz w:val="22"/>
          <w:szCs w:val="22"/>
        </w:rPr>
        <w:t xml:space="preserve"> </w:t>
      </w:r>
      <w:r w:rsidR="006D3704" w:rsidRPr="006D3704">
        <w:rPr>
          <w:i/>
          <w:iCs/>
          <w:color w:val="000000"/>
          <w:sz w:val="22"/>
          <w:szCs w:val="22"/>
          <w:lang w:val="nb-NO"/>
        </w:rPr>
        <w:t>Keuangan</w:t>
      </w:r>
      <w:r w:rsidR="006D3704" w:rsidRPr="006D3704">
        <w:rPr>
          <w:i/>
          <w:iCs/>
          <w:color w:val="000000"/>
          <w:sz w:val="22"/>
          <w:szCs w:val="22"/>
        </w:rPr>
        <w:t xml:space="preserve">, </w:t>
      </w:r>
      <w:r w:rsidR="006D3704" w:rsidRPr="006D3704">
        <w:rPr>
          <w:i/>
          <w:iCs/>
          <w:color w:val="000000"/>
          <w:sz w:val="22"/>
          <w:szCs w:val="22"/>
          <w:lang w:val="nb-NO"/>
        </w:rPr>
        <w:t>Standar Industri.</w:t>
      </w:r>
    </w:p>
    <w:p w:rsidR="006D3704" w:rsidRDefault="006D3704">
      <w:pPr>
        <w:pBdr>
          <w:top w:val="nil"/>
          <w:left w:val="nil"/>
          <w:bottom w:val="nil"/>
          <w:right w:val="nil"/>
          <w:between w:val="nil"/>
        </w:pBdr>
        <w:ind w:left="180"/>
        <w:rPr>
          <w:color w:val="000000"/>
          <w:sz w:val="22"/>
          <w:szCs w:val="22"/>
        </w:rPr>
      </w:pPr>
    </w:p>
    <w:p w:rsidR="00254C69" w:rsidRDefault="00254C69">
      <w:pPr>
        <w:pBdr>
          <w:top w:val="nil"/>
          <w:left w:val="nil"/>
          <w:bottom w:val="nil"/>
          <w:right w:val="nil"/>
          <w:between w:val="nil"/>
        </w:pBdr>
        <w:ind w:left="180"/>
        <w:jc w:val="center"/>
        <w:rPr>
          <w:i/>
          <w:color w:val="000000"/>
          <w:sz w:val="20"/>
          <w:szCs w:val="20"/>
        </w:rPr>
      </w:pPr>
    </w:p>
    <w:p w:rsidR="00254C69" w:rsidRDefault="005F6436">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rsidR="006D3704" w:rsidRPr="006D3704" w:rsidRDefault="006D3704" w:rsidP="00C33DC1">
      <w:pPr>
        <w:pBdr>
          <w:top w:val="nil"/>
          <w:left w:val="nil"/>
          <w:bottom w:val="nil"/>
          <w:right w:val="nil"/>
          <w:between w:val="nil"/>
        </w:pBdr>
        <w:ind w:left="180"/>
        <w:jc w:val="both"/>
        <w:rPr>
          <w:color w:val="111111"/>
          <w:lang w:val="nb-NO"/>
        </w:rPr>
      </w:pPr>
      <w:r w:rsidRPr="006D3704">
        <w:rPr>
          <w:color w:val="111111"/>
        </w:rPr>
        <w:t>Industri telekomunikasi di Indonesia dalam kurun waktu lima tahun terakhir bisa dikatakan mengalami perkembangan yang cukup signifikan. Pemicu perkembangan teknologi yang terjadi dalam dunia industri telekomunikasi tidak hanya dampak tuntutan persaingan bisnis, namun juga didorong oleh kebutuhan pelanggan, utamanya selama kurun waktu periode 2020-2022, sebagai dampak langsung dari era pandemic. Adanya kebutuhan untuk meminimalkan interaksi langsung secara fisik, sedangkan manusia tetap membutuhkan keberlangsungan aktivitasnya, menyebabkan masyarakat didorong untuk mengoptimalkan pemanfaatan teknologi komunikasi secara digitalisasi. Hampir semua sector industry dalam kurun waktu selama pandemic mau tidak mau harus menggunakan komunikasi virtual secara digital. Peningkatan kebutuhan pasar atas digitalisasi yang besar ini tentu saja menjadi angin segar bagi perusahaan-perusahaan penyedia layanan jaringan telekomunikasi (</w:t>
      </w:r>
      <w:r w:rsidRPr="006D3704">
        <w:rPr>
          <w:i/>
          <w:iCs/>
          <w:color w:val="111111"/>
        </w:rPr>
        <w:t>provider company</w:t>
      </w:r>
      <w:r w:rsidRPr="006D3704">
        <w:rPr>
          <w:color w:val="111111"/>
        </w:rPr>
        <w:t xml:space="preserve">) di Indonesia. Saat ini di Indonesia memiliki empat provider company yang menguasai pasar penyedia layanan jaringan, yaitu : Telkomsel Indonesia, Indosat Ooredoo, XL Axiata, dan Smartfren. Meski keempatnya bisa dikatakan sementara ini memonopoli pasar penyedia jaringan di Indonesia, namun persaingan yang terjadi juga cukup ketat. Tantangan yang dihadapi oleh perusahaan-perusahaan ini khususnya dari sisi mempertahankan margin keuntungan terkait penentuan harga jual layanan data. Layanan provider company sangat ditentukan oleh ketersediaan infrastuktur yang dimiliki, baik dari sisi cakupan area maupun dari sisi penyediaan dan pengembangan peralatan teknologi. </w:t>
      </w:r>
      <w:r w:rsidRPr="006D3704">
        <w:rPr>
          <w:color w:val="111111"/>
          <w:lang w:val="nb-NO"/>
        </w:rPr>
        <w:t>Ini berarti perusahaan telekomunikasi harus terus melakukan investasi, baik untuk asset fisik maupun asset non fisik.</w:t>
      </w:r>
    </w:p>
    <w:p w:rsidR="006D3704" w:rsidRPr="006D3704" w:rsidRDefault="006D3704" w:rsidP="00C33DC1">
      <w:pPr>
        <w:pBdr>
          <w:top w:val="nil"/>
          <w:left w:val="nil"/>
          <w:bottom w:val="nil"/>
          <w:right w:val="nil"/>
          <w:between w:val="nil"/>
        </w:pBdr>
        <w:ind w:left="180"/>
        <w:jc w:val="both"/>
        <w:rPr>
          <w:color w:val="111111"/>
          <w:lang w:val="en-US"/>
        </w:rPr>
      </w:pPr>
      <w:r w:rsidRPr="006D3704">
        <w:rPr>
          <w:color w:val="111111"/>
          <w:lang w:val="nb-NO"/>
        </w:rPr>
        <w:t xml:space="preserve">PT Smartfren Telecom Tbk (dahulu PT Mobile-8 Telecom Tbk) mungkin merupakan unit bisnis Sinarmas Gather yang bergerak di bidang industri pemasok manfaat transmisi media. Smartfren menawarkan berbagai macam produk dan layanan suara dan informasi, pengaturan perdagangan, dan administrasi tingkat lanjut. Perusahaan ini didirikan pada bulan Desember 2002 dan memulai kegiatan komersialnya pada bulan Desember 2003. Saat ini, perdagangan mendasar Smartfren Telecom Tbk adalah menyediakan administrasi transmisi media nasional berbasis inovasi 4G LTE dengan merek "Smartfren". </w:t>
      </w:r>
      <w:r w:rsidRPr="006D3704">
        <w:rPr>
          <w:color w:val="111111"/>
          <w:lang w:val="en-US"/>
        </w:rPr>
        <w:t>Inovasi 4G LTE adalah era keempat (4G) dari administrasi inovasi jarak jauh Worldwide Framework for Portable (GSM) dan Code Numerous Get to (CDMA). Smartfren tercatat di Bursa Efek Indonesia pada bulan November 2006. Pemegang saham yang memiliki lebih dari 5% saham Smartfren per 31 Mei 2023 adalah PT Worldwide Nusa Information (23,8%), PT Wahana Inti Nusantara (14,5%), Dian Swaistika Sentosa Tbk (DSSA) (13,4%), dan PT Bali Media Komunikasi (9,8%). Smartfren Telecom Tbk saat ini diklaim dan diawasi oleh keluarga Widjaja (Linda Suryasari Wijaya L, Muktar Widjaja, Indra Widjaja dan Franky Oesman Widjaja).</w:t>
      </w:r>
    </w:p>
    <w:p w:rsidR="006D3704" w:rsidRPr="006D3704" w:rsidRDefault="006D3704" w:rsidP="00C33DC1">
      <w:pPr>
        <w:pBdr>
          <w:top w:val="nil"/>
          <w:left w:val="nil"/>
          <w:bottom w:val="nil"/>
          <w:right w:val="nil"/>
          <w:between w:val="nil"/>
        </w:pBdr>
        <w:ind w:left="180"/>
        <w:jc w:val="both"/>
        <w:rPr>
          <w:color w:val="111111"/>
          <w:lang w:val="nb-NO"/>
        </w:rPr>
      </w:pPr>
      <w:r w:rsidRPr="006D3704">
        <w:rPr>
          <w:color w:val="111111"/>
          <w:lang w:val="nb-NO"/>
        </w:rPr>
        <w:t xml:space="preserve">Administrasi keuangan yang baik merupakan hal yang mendasar bagi pemasok seperti Smartfren untuk menjaga keuntungan perdagangan. Investigasi artikulasi terkait uang adalah bagian penting dan fundamental dari bidang investigasi perdagangan secara umum (Subramanyam, 2017). Hal yang paling banyak digunakan dalam pemeriksaan artikulasi anggaran adalah perhitungan proporsi anggaran, yang juga dikenal sebagai pemeriksaan proporsi anggaran. Pemeriksaan proporsi adalah pemeriksaan yang dilakukan dengan menghubungkan berbagai alat pengukur dalam artikulasi anggaran dalam bentuk proporsi anggaran. Pemeriksaan artikulasi terkait uang ini dapat memunculkan hubungan kritis antara alat pengukur artikulasi moneter dan dapat digunakan untuk mengevaluasi kesejahteraan dan eksekusi perusahaan (Hery, 2020). Hal yang paling penting adalah menjamin arus kas yang stabil. Spekulasi domain asli diketahui dibiayai sesuai dengan pendekatan anggaran perusahaan, dan ada banyak posisi terkait uang yang beragam, termasuk kewajiban yang </w:t>
      </w:r>
      <w:r w:rsidRPr="006D3704">
        <w:rPr>
          <w:color w:val="111111"/>
          <w:lang w:val="nb-NO"/>
        </w:rPr>
        <w:lastRenderedPageBreak/>
        <w:t>menambah biaya. Selanjutnya, diperlukan administrasi keuangan yang dapat menghasilkan keuntungan besar dan mencakup semua komitmen perusahaan dalam jangka pendek dan jangka panjang.</w:t>
      </w:r>
    </w:p>
    <w:p w:rsidR="006D3704" w:rsidRPr="006D3704" w:rsidRDefault="006D3704" w:rsidP="00C33DC1">
      <w:pPr>
        <w:pBdr>
          <w:top w:val="nil"/>
          <w:left w:val="nil"/>
          <w:bottom w:val="nil"/>
          <w:right w:val="nil"/>
          <w:between w:val="nil"/>
        </w:pBdr>
        <w:ind w:left="180"/>
        <w:jc w:val="both"/>
        <w:rPr>
          <w:color w:val="111111"/>
          <w:lang w:val="nb-NO"/>
        </w:rPr>
      </w:pPr>
      <w:r w:rsidRPr="006D3704">
        <w:rPr>
          <w:color w:val="111111"/>
          <w:lang w:val="nb-NO"/>
        </w:rPr>
        <w:t>Sehubungan dengan kapasitas perusahaan untuk membayar semua komitmen anggarannya saat jatuh tempo, hal ini dapat dianalisis dalam hal likuiditas dan modal kerja. Berbicara tentang likuiditas lebih sering dikaitkan dengan kapasitas perusahaan untuk memenuhi komitmen jangka pendeknya. Namun demikian, hal yang harus diperhatikan adalah bahwa kemampuan perusahaan untuk bertahan hidup akan sangat tidak masuk akal jika komitmen yang harus dibayarkan tidak dapat dipenuhi secara keseluruhan. Hal ini menunjukkan bahwa pemeriksaan harus melihat tidak hanya pada ukuran likuiditas, tetapi juga pada kemampuan untuk dibubarkan. Modal kerja, yang merupakan kelebihan sumber daya saat ini dibandingkan kewajiban jangka pendek, juga merupakan penunjuk likuiditas perusahaan. Modal kerja merupakan sumber daya likuiditas yang sangat penting yang mencerminkan keamanan bagi bank. Modal kerja juga sangat penting sebagai tingkat simpanan cairan yang dapat diakses untuk memenuhi kemungkinan dan kerentanan yang terkait dengan arus masuk dan keluarnya kas perusahaan (Subramanyam, 2017).</w:t>
      </w:r>
    </w:p>
    <w:p w:rsidR="006D3704" w:rsidRPr="006D3704" w:rsidRDefault="006D3704" w:rsidP="00C33DC1">
      <w:pPr>
        <w:pBdr>
          <w:top w:val="nil"/>
          <w:left w:val="nil"/>
          <w:bottom w:val="nil"/>
          <w:right w:val="nil"/>
          <w:between w:val="nil"/>
        </w:pBdr>
        <w:ind w:left="180"/>
        <w:jc w:val="both"/>
        <w:rPr>
          <w:color w:val="111111"/>
          <w:lang w:val="nb-NO"/>
        </w:rPr>
      </w:pPr>
      <w:r w:rsidRPr="006D3704">
        <w:rPr>
          <w:color w:val="111111"/>
          <w:lang w:val="nb-NO"/>
        </w:rPr>
        <w:t>Investigasi artikulasi terkait uang membutuhkan bahan mentah dalam bentuk penjelasan terkait uang yang merupakan sumber informasi untuk menghitung proporsi anggaran. Seperti yang Anda ketahui, perusahaan membutuhkan empat laporan keuangan. Yang pertama adalah artikulasi posisi terkait uang (lembar penyesuaian), yang menjelaskan posisi terkait uang dalam hal sumber daya, kewajiban, dan nilai pada saat yang bersamaan. Pada saat artikulasi pembayaran, muncul manfaat atau eksekusi yang dikomunikasikan sebagai selisih antara pendapatan dan biaya, selama periode waktu tertentu. Ketiga, penjelasan aliran uang muncul bagaimana perusahaan memperoleh dan mempekerjakan uang tunai melalui pekerjaan, kontribusi, dan latihan pembiayaan dari waktu ke waktu. Keempat, laporan perubahan modal berisi perubahan modal berdasarkan operasi di dalam perusahaan dalam kerangka manfaat dan pembagian hasil dan pengaruh perubahan dalam struktur komitmen modal (Prihadi, 2020).</w:t>
      </w:r>
    </w:p>
    <w:p w:rsidR="006D3704" w:rsidRPr="006D3704" w:rsidRDefault="006D3704" w:rsidP="00C33DC1">
      <w:pPr>
        <w:pBdr>
          <w:top w:val="nil"/>
          <w:left w:val="nil"/>
          <w:bottom w:val="nil"/>
          <w:right w:val="nil"/>
          <w:between w:val="nil"/>
        </w:pBdr>
        <w:ind w:left="180"/>
        <w:jc w:val="both"/>
        <w:rPr>
          <w:color w:val="111111"/>
          <w:lang w:val="nb-NO"/>
        </w:rPr>
      </w:pPr>
      <w:r w:rsidRPr="006D3704">
        <w:rPr>
          <w:color w:val="111111"/>
          <w:lang w:val="nb-NO"/>
        </w:rPr>
        <w:t xml:space="preserve">Kita harus memahami bahwa pengumuman moneter dibatasi. Hal tersebut adalah (1) Penjelasan terkait uang adalah laporan yang dapat diverifikasi atau laporan kejadian di masa lalu, sehingga tidak dapat dijadikan sumber data untuk membuat pilihan keuangan. (2) Penjelasan terkait uang bersifat umum dan tidak dimaksudkan untuk memenuhi keinginan kelompok tertentu. (3) Metode perencanaan penjelasan moneter tidak mencakup penggunaan alat pengukur atau praduga. (4) Pemeriksa seolah-olah memberikan data kain. (5) Perincian yang berhubungan dengan uang sangat baik dalam menjaga ketidakstabilan. (6) Penekanan pada pentingnya peristiwa/transaksi keuangan. (7) Penjelasan anggaran disusun dengan menggunakan istilah-istilah khusus, sehingga klien artikulasi moneter harus mengetahui dan mendapatkan istilah-istilah khusus tersebut (Fahmi, 2018). </w:t>
      </w:r>
    </w:p>
    <w:p w:rsidR="006D3704" w:rsidRPr="006D3704" w:rsidRDefault="006D3704" w:rsidP="00C33DC1">
      <w:pPr>
        <w:pBdr>
          <w:top w:val="nil"/>
          <w:left w:val="nil"/>
          <w:bottom w:val="nil"/>
          <w:right w:val="nil"/>
          <w:between w:val="nil"/>
        </w:pBdr>
        <w:ind w:left="180"/>
        <w:jc w:val="both"/>
        <w:rPr>
          <w:color w:val="111111"/>
          <w:lang w:val="nb-NO"/>
        </w:rPr>
      </w:pPr>
      <w:r w:rsidRPr="006D3704">
        <w:rPr>
          <w:color w:val="111111"/>
          <w:lang w:val="nb-NO"/>
        </w:rPr>
        <w:t>Ada empat kelompok proporsi anggaran: (1) Proporsi anggaran adalah catatan yang menentukan kapasitas perusahaan untuk mendanai operasinya dan memenuhi komitmen moneternya berdasarkan permintaan. (2) Proporsi kerja adalah catatan yang menentukan kapasitas perusahaan untuk melakukan operasi perdagangan sehari-hari, membeli dan mengumpulkan obligasi, dan memanfaatkan sumber dayanya. (3) Benefit file adalah catatan yang menentukan kapasitas perusahaan untuk mendapatkan keuntungan dari berbagai pengaturan dan pilihan yang diambil. (4) Proporsi kewajiban adalah catatan yang mengukur sejauh mana sumber daya perusahaan menutupi kewajibannya (Munawir, 2016).</w:t>
      </w:r>
    </w:p>
    <w:p w:rsidR="00254C69" w:rsidRDefault="006D3704" w:rsidP="00C33DC1">
      <w:pPr>
        <w:pBdr>
          <w:top w:val="nil"/>
          <w:left w:val="nil"/>
          <w:bottom w:val="nil"/>
          <w:right w:val="nil"/>
          <w:between w:val="nil"/>
        </w:pBdr>
        <w:ind w:left="180"/>
        <w:jc w:val="both"/>
        <w:rPr>
          <w:color w:val="000000"/>
        </w:rPr>
      </w:pPr>
      <w:r w:rsidRPr="006D3704">
        <w:rPr>
          <w:color w:val="111111"/>
          <w:lang w:val="nb-NO"/>
        </w:rPr>
        <w:t xml:space="preserve">Dari tingginya kebutuhan iklan di industri komunikasi penyiaran, para analis penasaran untuk menganalisa eksekusi yang dilakukan oleh PT Smartfren Telecom Tbk melalui investigasi </w:t>
      </w:r>
      <w:r w:rsidRPr="006D3704">
        <w:rPr>
          <w:color w:val="111111"/>
          <w:lang w:val="nb-NO"/>
        </w:rPr>
        <w:lastRenderedPageBreak/>
        <w:t>proporsi anggaran. Dengan adanya investigasi proporsi anggaran yang ditampilkan, dipercaya dapat memberikan gambaran eksekusi yang telah dilakukan sudah ideal atau belum. Sehingga dapat memberikan masukan yang positif untuk perbaikan dan kemajuan industri komunikasi penyiaran pada umumnya dan khususnya bagi administrasi PT Smartfren Telecom Tbk. Sehingga dapat disimpulkan bahwa yang menjadi dasar pertimbangan dalam penelitian ini adalah untuk mengetahui sejauh mana pelaksanaan manajemen risiko PT. Smartfren Telecom Tbk melalui pemeriksaan proporsi moneter berdasarkan artikulasi moneter PT. Smartfren Telecom Tbk tahun 2018-2022.</w:t>
      </w:r>
    </w:p>
    <w:p w:rsidR="00254C69" w:rsidRDefault="00254C69">
      <w:pPr>
        <w:pBdr>
          <w:top w:val="nil"/>
          <w:left w:val="nil"/>
          <w:bottom w:val="nil"/>
          <w:right w:val="nil"/>
          <w:between w:val="nil"/>
        </w:pBdr>
        <w:ind w:left="180"/>
        <w:jc w:val="both"/>
        <w:rPr>
          <w:color w:val="000000"/>
        </w:rPr>
      </w:pPr>
    </w:p>
    <w:p w:rsidR="00254C69" w:rsidRDefault="005F6436">
      <w:pPr>
        <w:pBdr>
          <w:top w:val="nil"/>
          <w:left w:val="nil"/>
          <w:bottom w:val="nil"/>
          <w:right w:val="nil"/>
          <w:between w:val="nil"/>
        </w:pBdr>
        <w:ind w:left="180"/>
        <w:jc w:val="both"/>
        <w:rPr>
          <w:rFonts w:ascii="Arial" w:eastAsia="Arial" w:hAnsi="Arial" w:cs="Arial"/>
          <w:b/>
          <w:color w:val="000000"/>
        </w:rPr>
      </w:pPr>
      <w:r>
        <w:rPr>
          <w:b/>
        </w:rPr>
        <w:t>KAJIAN PUSTAKA</w:t>
      </w:r>
    </w:p>
    <w:p w:rsidR="006D3704" w:rsidRPr="006D3704" w:rsidRDefault="006D3704">
      <w:pPr>
        <w:pBdr>
          <w:top w:val="nil"/>
          <w:left w:val="nil"/>
          <w:bottom w:val="nil"/>
          <w:right w:val="nil"/>
          <w:between w:val="nil"/>
        </w:pBdr>
        <w:ind w:left="180"/>
        <w:jc w:val="both"/>
        <w:rPr>
          <w:color w:val="000000"/>
          <w:lang w:val="en-US"/>
        </w:rPr>
      </w:pPr>
      <w:r>
        <w:rPr>
          <w:color w:val="000000"/>
          <w:lang w:val="en-US"/>
        </w:rPr>
        <w:t>Kinerja Keuangan</w:t>
      </w:r>
    </w:p>
    <w:p w:rsidR="006D3704" w:rsidRDefault="006D3704" w:rsidP="006D3704">
      <w:pPr>
        <w:pBdr>
          <w:top w:val="nil"/>
          <w:left w:val="nil"/>
          <w:bottom w:val="nil"/>
          <w:right w:val="nil"/>
          <w:between w:val="nil"/>
        </w:pBdr>
        <w:ind w:left="180"/>
        <w:jc w:val="both"/>
        <w:rPr>
          <w:color w:val="000000"/>
          <w:lang w:val="en-US"/>
        </w:rPr>
      </w:pPr>
      <w:r w:rsidRPr="006D3704">
        <w:rPr>
          <w:color w:val="000000"/>
          <w:lang w:val="en-US"/>
        </w:rPr>
        <w:t xml:space="preserve">Fahmi  (2018:  142)  </w:t>
      </w:r>
      <w:r w:rsidR="00160B31">
        <w:rPr>
          <w:color w:val="000000"/>
          <w:lang w:val="en-US"/>
        </w:rPr>
        <w:t xml:space="preserve">mengatakan bahwa </w:t>
      </w:r>
      <w:r w:rsidRPr="006D3704">
        <w:rPr>
          <w:color w:val="000000"/>
          <w:lang w:val="en-US"/>
        </w:rPr>
        <w:t xml:space="preserve">kinerja keuangan  adalah  analisis  yang  dilakukan untuk melihat </w:t>
      </w:r>
      <w:r w:rsidR="00160B31">
        <w:rPr>
          <w:color w:val="000000"/>
          <w:lang w:val="en-US"/>
        </w:rPr>
        <w:t>perkembangan</w:t>
      </w:r>
      <w:r w:rsidRPr="006D3704">
        <w:rPr>
          <w:color w:val="000000"/>
          <w:lang w:val="en-US"/>
        </w:rPr>
        <w:t xml:space="preserve"> perusahaan </w:t>
      </w:r>
      <w:r w:rsidR="00160B31">
        <w:rPr>
          <w:color w:val="000000"/>
          <w:lang w:val="en-US"/>
        </w:rPr>
        <w:t>dalam</w:t>
      </w:r>
      <w:r w:rsidRPr="006D3704">
        <w:rPr>
          <w:color w:val="000000"/>
          <w:lang w:val="en-US"/>
        </w:rPr>
        <w:t xml:space="preserve"> melaksanakan </w:t>
      </w:r>
      <w:r w:rsidR="00160B31">
        <w:rPr>
          <w:color w:val="000000"/>
          <w:lang w:val="en-US"/>
        </w:rPr>
        <w:t>dan</w:t>
      </w:r>
      <w:r w:rsidRPr="006D3704">
        <w:rPr>
          <w:color w:val="000000"/>
          <w:lang w:val="en-US"/>
        </w:rPr>
        <w:t xml:space="preserve"> menggunakan  aturan</w:t>
      </w:r>
      <w:r w:rsidR="00160B31">
        <w:rPr>
          <w:color w:val="000000"/>
          <w:lang w:val="en-US"/>
        </w:rPr>
        <w:t xml:space="preserve"> </w:t>
      </w:r>
      <w:r w:rsidRPr="006D3704">
        <w:rPr>
          <w:color w:val="000000"/>
          <w:lang w:val="en-US"/>
        </w:rPr>
        <w:t xml:space="preserve">pelaksanaan  keuangan  secara  baik  dan  benar. Kinerja  keuangan  perusahaan  </w:t>
      </w:r>
      <w:r w:rsidR="00160B31">
        <w:rPr>
          <w:color w:val="000000"/>
          <w:lang w:val="en-US"/>
        </w:rPr>
        <w:t>dikatakan baik jika</w:t>
      </w:r>
      <w:r w:rsidRPr="006D3704">
        <w:rPr>
          <w:color w:val="000000"/>
          <w:lang w:val="en-US"/>
        </w:rPr>
        <w:t xml:space="preserve"> pelaksanaan aturan yang berlaku sudah dilakukan </w:t>
      </w:r>
      <w:r w:rsidR="00160B31">
        <w:rPr>
          <w:color w:val="000000"/>
          <w:lang w:val="en-US"/>
        </w:rPr>
        <w:t>dengan</w:t>
      </w:r>
      <w:r w:rsidRPr="006D3704">
        <w:rPr>
          <w:color w:val="000000"/>
          <w:lang w:val="en-US"/>
        </w:rPr>
        <w:t xml:space="preserve"> baik dan benar.  </w:t>
      </w:r>
    </w:p>
    <w:p w:rsidR="00160B31" w:rsidRPr="006D3704" w:rsidRDefault="00160B31" w:rsidP="00160B31">
      <w:pPr>
        <w:pBdr>
          <w:top w:val="nil"/>
          <w:left w:val="nil"/>
          <w:bottom w:val="nil"/>
          <w:right w:val="nil"/>
          <w:between w:val="nil"/>
        </w:pBdr>
        <w:ind w:left="180"/>
        <w:jc w:val="both"/>
        <w:rPr>
          <w:color w:val="000000"/>
          <w:lang w:val="en-US"/>
        </w:rPr>
      </w:pPr>
      <w:r>
        <w:rPr>
          <w:color w:val="000000"/>
          <w:lang w:val="en-US"/>
        </w:rPr>
        <w:t>Rasio Keuangan</w:t>
      </w:r>
    </w:p>
    <w:p w:rsidR="00160B31" w:rsidRPr="00160B31" w:rsidRDefault="00160B31" w:rsidP="00160B31">
      <w:pPr>
        <w:pBdr>
          <w:top w:val="nil"/>
          <w:left w:val="nil"/>
          <w:bottom w:val="nil"/>
          <w:right w:val="nil"/>
          <w:between w:val="nil"/>
        </w:pBdr>
        <w:ind w:left="180"/>
        <w:jc w:val="both"/>
        <w:rPr>
          <w:color w:val="000000"/>
          <w:lang w:val="en-US"/>
        </w:rPr>
      </w:pPr>
      <w:r w:rsidRPr="00160B31">
        <w:rPr>
          <w:color w:val="000000"/>
          <w:lang w:val="en-US"/>
        </w:rPr>
        <w:t>Hery  (2018)</w:t>
      </w:r>
      <w:r>
        <w:rPr>
          <w:color w:val="000000"/>
          <w:lang w:val="en-US"/>
        </w:rPr>
        <w:t xml:space="preserve"> mengatakan bahwa </w:t>
      </w:r>
      <w:r w:rsidRPr="00160B31">
        <w:rPr>
          <w:color w:val="000000"/>
          <w:lang w:val="en-US"/>
        </w:rPr>
        <w:t xml:space="preserve">rasio keuangan  </w:t>
      </w:r>
      <w:r>
        <w:rPr>
          <w:color w:val="000000"/>
          <w:lang w:val="en-US"/>
        </w:rPr>
        <w:t>merupakan</w:t>
      </w:r>
      <w:r w:rsidRPr="00160B31">
        <w:rPr>
          <w:color w:val="000000"/>
          <w:lang w:val="en-US"/>
        </w:rPr>
        <w:t xml:space="preserve"> “analisis yang dilakukan dengan  </w:t>
      </w:r>
    </w:p>
    <w:p w:rsidR="00160B31" w:rsidRDefault="00160B31" w:rsidP="00160B31">
      <w:pPr>
        <w:pBdr>
          <w:top w:val="nil"/>
          <w:left w:val="nil"/>
          <w:bottom w:val="nil"/>
          <w:right w:val="nil"/>
          <w:between w:val="nil"/>
        </w:pBdr>
        <w:ind w:left="180"/>
        <w:jc w:val="both"/>
        <w:rPr>
          <w:color w:val="000000"/>
          <w:lang w:val="en-US"/>
        </w:rPr>
      </w:pPr>
      <w:r w:rsidRPr="00160B31">
        <w:rPr>
          <w:color w:val="000000"/>
          <w:lang w:val="en-US"/>
        </w:rPr>
        <w:t xml:space="preserve">menghubungkan berbagai </w:t>
      </w:r>
      <w:r>
        <w:rPr>
          <w:color w:val="000000"/>
          <w:lang w:val="en-US"/>
        </w:rPr>
        <w:t xml:space="preserve">data </w:t>
      </w:r>
      <w:r w:rsidRPr="00160B31">
        <w:rPr>
          <w:color w:val="000000"/>
          <w:lang w:val="en-US"/>
        </w:rPr>
        <w:t xml:space="preserve">pada laporan keuangan dalam  bentuk  </w:t>
      </w:r>
      <w:r>
        <w:rPr>
          <w:color w:val="000000"/>
          <w:lang w:val="en-US"/>
        </w:rPr>
        <w:t>persentasi rasio-rasio</w:t>
      </w:r>
      <w:r w:rsidRPr="00160B31">
        <w:rPr>
          <w:color w:val="000000"/>
          <w:lang w:val="en-US"/>
        </w:rPr>
        <w:t>”.</w:t>
      </w:r>
      <w:r>
        <w:rPr>
          <w:color w:val="000000"/>
          <w:lang w:val="en-US"/>
        </w:rPr>
        <w:t xml:space="preserve"> </w:t>
      </w:r>
      <w:r w:rsidRPr="00160B31">
        <w:rPr>
          <w:color w:val="000000"/>
          <w:lang w:val="en-US"/>
        </w:rPr>
        <w:t>Laporan keuangan dapat di</w:t>
      </w:r>
      <w:r>
        <w:rPr>
          <w:color w:val="000000"/>
          <w:lang w:val="en-US"/>
        </w:rPr>
        <w:t>per</w:t>
      </w:r>
      <w:r w:rsidRPr="00160B31">
        <w:rPr>
          <w:color w:val="000000"/>
          <w:lang w:val="en-US"/>
        </w:rPr>
        <w:t xml:space="preserve">bandingkan satu </w:t>
      </w:r>
      <w:r>
        <w:rPr>
          <w:color w:val="000000"/>
          <w:lang w:val="en-US"/>
        </w:rPr>
        <w:t xml:space="preserve">dengan </w:t>
      </w:r>
      <w:r w:rsidRPr="00160B31">
        <w:rPr>
          <w:color w:val="000000"/>
          <w:lang w:val="en-US"/>
        </w:rPr>
        <w:t xml:space="preserve">lain atau antara </w:t>
      </w:r>
      <w:r>
        <w:rPr>
          <w:color w:val="000000"/>
          <w:lang w:val="en-US"/>
        </w:rPr>
        <w:t>neraca dan laba-rugi</w:t>
      </w:r>
      <w:r w:rsidRPr="00160B31">
        <w:rPr>
          <w:color w:val="000000"/>
          <w:lang w:val="en-US"/>
        </w:rPr>
        <w:t>.</w:t>
      </w:r>
    </w:p>
    <w:p w:rsidR="00890428" w:rsidRDefault="00890428" w:rsidP="00160B31">
      <w:pPr>
        <w:pBdr>
          <w:top w:val="nil"/>
          <w:left w:val="nil"/>
          <w:bottom w:val="nil"/>
          <w:right w:val="nil"/>
          <w:between w:val="nil"/>
        </w:pBdr>
        <w:ind w:left="180"/>
        <w:jc w:val="both"/>
        <w:rPr>
          <w:color w:val="000000"/>
          <w:lang w:val="en-US"/>
        </w:rPr>
      </w:pPr>
      <w:r>
        <w:rPr>
          <w:color w:val="000000"/>
          <w:lang w:val="en-US"/>
        </w:rPr>
        <w:t>M</w:t>
      </w:r>
      <w:r w:rsidRPr="00890428">
        <w:rPr>
          <w:color w:val="000000"/>
          <w:lang w:val="en-US"/>
        </w:rPr>
        <w:t xml:space="preserve">enurut Harahap (2016:297) </w:t>
      </w:r>
      <w:r>
        <w:rPr>
          <w:color w:val="000000"/>
          <w:lang w:val="en-US"/>
        </w:rPr>
        <w:t xml:space="preserve">rasio keuangan merupakan </w:t>
      </w:r>
      <w:r w:rsidRPr="00890428">
        <w:rPr>
          <w:color w:val="000000"/>
          <w:lang w:val="en-US"/>
        </w:rPr>
        <w:t>angka yang diperoleh dari membandingkan suatu pos dalam laporan keuangan dengan pos lain yang terkait secara signifikan.</w:t>
      </w:r>
    </w:p>
    <w:p w:rsidR="00BE463F" w:rsidRPr="006D3704" w:rsidRDefault="00BE463F" w:rsidP="00BE463F">
      <w:pPr>
        <w:pBdr>
          <w:top w:val="nil"/>
          <w:left w:val="nil"/>
          <w:bottom w:val="nil"/>
          <w:right w:val="nil"/>
          <w:between w:val="nil"/>
        </w:pBdr>
        <w:ind w:left="180"/>
        <w:jc w:val="both"/>
        <w:rPr>
          <w:color w:val="000000"/>
          <w:lang w:val="en-US"/>
        </w:rPr>
      </w:pPr>
      <w:r>
        <w:rPr>
          <w:color w:val="000000"/>
          <w:lang w:val="en-US"/>
        </w:rPr>
        <w:t xml:space="preserve">Rasio </w:t>
      </w:r>
      <w:r>
        <w:rPr>
          <w:color w:val="000000"/>
          <w:lang w:val="en-US"/>
        </w:rPr>
        <w:t>Likuiditas</w:t>
      </w:r>
    </w:p>
    <w:p w:rsidR="00BE463F" w:rsidRDefault="00C33DC1" w:rsidP="00BE463F">
      <w:pPr>
        <w:pBdr>
          <w:top w:val="nil"/>
          <w:left w:val="nil"/>
          <w:bottom w:val="nil"/>
          <w:right w:val="nil"/>
          <w:between w:val="nil"/>
        </w:pBdr>
        <w:ind w:left="180"/>
        <w:jc w:val="both"/>
        <w:rPr>
          <w:color w:val="000000"/>
        </w:rPr>
      </w:pPr>
      <w:r>
        <w:rPr>
          <w:color w:val="000000"/>
          <w:lang w:val="en-US"/>
        </w:rPr>
        <w:t xml:space="preserve">Menurut </w:t>
      </w:r>
      <w:r w:rsidRPr="00C33DC1">
        <w:rPr>
          <w:color w:val="000000"/>
        </w:rPr>
        <w:t xml:space="preserve">Freld Welstoln </w:t>
      </w:r>
      <w:r>
        <w:rPr>
          <w:color w:val="000000"/>
          <w:lang w:val="en-US"/>
        </w:rPr>
        <w:t xml:space="preserve">di </w:t>
      </w:r>
      <w:r w:rsidRPr="00C33DC1">
        <w:rPr>
          <w:color w:val="000000"/>
        </w:rPr>
        <w:t>dalam Kasmir (2019:110)</w:t>
      </w:r>
      <w:r>
        <w:rPr>
          <w:color w:val="000000"/>
          <w:lang w:val="en-US"/>
        </w:rPr>
        <w:t>, r</w:t>
      </w:r>
      <w:r w:rsidRPr="00C33DC1">
        <w:rPr>
          <w:color w:val="000000"/>
        </w:rPr>
        <w:t xml:space="preserve">asio likuiditas </w:t>
      </w:r>
      <w:r>
        <w:rPr>
          <w:color w:val="000000"/>
          <w:lang w:val="en-US"/>
        </w:rPr>
        <w:t>adalah</w:t>
      </w:r>
      <w:r w:rsidRPr="00C33DC1">
        <w:rPr>
          <w:color w:val="000000"/>
        </w:rPr>
        <w:t xml:space="preserve"> rasio yang </w:t>
      </w:r>
      <w:r>
        <w:rPr>
          <w:color w:val="000000"/>
          <w:lang w:val="en-US"/>
        </w:rPr>
        <w:t>memberikan gambaran</w:t>
      </w:r>
      <w:r w:rsidRPr="00C33DC1">
        <w:rPr>
          <w:color w:val="000000"/>
        </w:rPr>
        <w:t xml:space="preserve"> kemampuan perusahaan </w:t>
      </w:r>
      <w:r>
        <w:rPr>
          <w:color w:val="000000"/>
          <w:lang w:val="en-US"/>
        </w:rPr>
        <w:t xml:space="preserve">dalam </w:t>
      </w:r>
      <w:r w:rsidRPr="00C33DC1">
        <w:rPr>
          <w:color w:val="000000"/>
        </w:rPr>
        <w:t>memenuhi kewajiban jangka pendek. Sujarwelni</w:t>
      </w:r>
      <w:r>
        <w:rPr>
          <w:color w:val="000000"/>
          <w:lang w:val="en-US"/>
        </w:rPr>
        <w:t xml:space="preserve"> </w:t>
      </w:r>
      <w:r w:rsidRPr="00C33DC1">
        <w:rPr>
          <w:color w:val="000000"/>
        </w:rPr>
        <w:t xml:space="preserve">(2020:60) </w:t>
      </w:r>
      <w:r>
        <w:rPr>
          <w:color w:val="000000"/>
          <w:lang w:val="en-US"/>
        </w:rPr>
        <w:t>mengatakan</w:t>
      </w:r>
      <w:r w:rsidRPr="00C33DC1">
        <w:rPr>
          <w:color w:val="000000"/>
        </w:rPr>
        <w:t xml:space="preserve"> bahwa</w:t>
      </w:r>
      <w:r>
        <w:rPr>
          <w:color w:val="000000"/>
          <w:lang w:val="en-US"/>
        </w:rPr>
        <w:t xml:space="preserve"> r</w:t>
      </w:r>
      <w:r w:rsidRPr="00C33DC1">
        <w:rPr>
          <w:color w:val="000000"/>
        </w:rPr>
        <w:t xml:space="preserve">asio likuiditas </w:t>
      </w:r>
      <w:r>
        <w:rPr>
          <w:color w:val="000000"/>
          <w:lang w:val="en-US"/>
        </w:rPr>
        <w:t>yaitu</w:t>
      </w:r>
      <w:r w:rsidRPr="00C33DC1">
        <w:rPr>
          <w:color w:val="000000"/>
        </w:rPr>
        <w:t xml:space="preserve"> rasio yang digunakan </w:t>
      </w:r>
      <w:r>
        <w:rPr>
          <w:color w:val="000000"/>
          <w:lang w:val="en-US"/>
        </w:rPr>
        <w:t xml:space="preserve">dalam </w:t>
      </w:r>
      <w:r w:rsidRPr="00C33DC1">
        <w:rPr>
          <w:color w:val="000000"/>
        </w:rPr>
        <w:t xml:space="preserve">mengukur kemampuan perusahaan </w:t>
      </w:r>
      <w:r>
        <w:rPr>
          <w:color w:val="000000"/>
          <w:lang w:val="en-US"/>
        </w:rPr>
        <w:t>untuk</w:t>
      </w:r>
      <w:r w:rsidRPr="00C33DC1">
        <w:rPr>
          <w:color w:val="000000"/>
        </w:rPr>
        <w:t xml:space="preserve"> memenuhi kewajiban jangka pendek.</w:t>
      </w:r>
    </w:p>
    <w:p w:rsidR="00C33DC1" w:rsidRPr="006D3704" w:rsidRDefault="00C33DC1" w:rsidP="00C33DC1">
      <w:pPr>
        <w:pBdr>
          <w:top w:val="nil"/>
          <w:left w:val="nil"/>
          <w:bottom w:val="nil"/>
          <w:right w:val="nil"/>
          <w:between w:val="nil"/>
        </w:pBdr>
        <w:ind w:left="180"/>
        <w:jc w:val="both"/>
        <w:rPr>
          <w:color w:val="000000"/>
          <w:lang w:val="en-US"/>
        </w:rPr>
      </w:pPr>
      <w:r>
        <w:rPr>
          <w:color w:val="000000"/>
          <w:lang w:val="en-US"/>
        </w:rPr>
        <w:t xml:space="preserve">Rasio </w:t>
      </w:r>
      <w:r w:rsidR="00D766C2">
        <w:rPr>
          <w:color w:val="000000"/>
          <w:lang w:val="en-US"/>
        </w:rPr>
        <w:t>Solvabilitas/Leverage</w:t>
      </w:r>
    </w:p>
    <w:p w:rsidR="00F82359" w:rsidRPr="00F82359" w:rsidRDefault="00F82359" w:rsidP="00C33DC1">
      <w:pPr>
        <w:pBdr>
          <w:top w:val="nil"/>
          <w:left w:val="nil"/>
          <w:bottom w:val="nil"/>
          <w:right w:val="nil"/>
          <w:between w:val="nil"/>
        </w:pBdr>
        <w:ind w:left="180"/>
        <w:jc w:val="both"/>
        <w:rPr>
          <w:color w:val="000000"/>
          <w:lang w:val="en-US"/>
        </w:rPr>
      </w:pPr>
      <w:r w:rsidRPr="00F82359">
        <w:rPr>
          <w:color w:val="000000"/>
        </w:rPr>
        <w:t>Sujarwelni (2020:61) menyatakan bahwa</w:t>
      </w:r>
      <w:r>
        <w:rPr>
          <w:color w:val="000000"/>
          <w:lang w:val="en-US"/>
        </w:rPr>
        <w:t xml:space="preserve"> </w:t>
      </w:r>
      <w:r w:rsidRPr="00F82359">
        <w:rPr>
          <w:color w:val="000000"/>
        </w:rPr>
        <w:t>rasio solvabilitas merupakan rasio untuk mengukur kemampuan perusahaan memenuhi seluruh kewajibannya baik jangka pendek maupun jangka panjang</w:t>
      </w:r>
      <w:r>
        <w:rPr>
          <w:color w:val="000000"/>
          <w:lang w:val="en-US"/>
        </w:rPr>
        <w:t xml:space="preserve">. Menurut </w:t>
      </w:r>
      <w:r w:rsidRPr="00F82359">
        <w:rPr>
          <w:color w:val="000000"/>
        </w:rPr>
        <w:t>Fahmi (2020:131) rasio solvabilitas atau leverage adalah mengukur seberapa besar perusahaan dibiayai dengan utang</w:t>
      </w:r>
      <w:r>
        <w:rPr>
          <w:color w:val="000000"/>
          <w:lang w:val="en-US"/>
        </w:rPr>
        <w:t>.</w:t>
      </w:r>
    </w:p>
    <w:p w:rsidR="00D766C2" w:rsidRPr="006D3704" w:rsidRDefault="00D766C2" w:rsidP="00D766C2">
      <w:pPr>
        <w:pBdr>
          <w:top w:val="nil"/>
          <w:left w:val="nil"/>
          <w:bottom w:val="nil"/>
          <w:right w:val="nil"/>
          <w:between w:val="nil"/>
        </w:pBdr>
        <w:ind w:left="180"/>
        <w:jc w:val="both"/>
        <w:rPr>
          <w:color w:val="000000"/>
          <w:lang w:val="en-US"/>
        </w:rPr>
      </w:pPr>
      <w:r>
        <w:rPr>
          <w:color w:val="000000"/>
          <w:lang w:val="en-US"/>
        </w:rPr>
        <w:t xml:space="preserve">Rasio </w:t>
      </w:r>
      <w:r>
        <w:rPr>
          <w:color w:val="000000"/>
          <w:lang w:val="en-US"/>
        </w:rPr>
        <w:t>Profitabilitas</w:t>
      </w:r>
    </w:p>
    <w:p w:rsidR="00D766C2" w:rsidRPr="00716B7B" w:rsidRDefault="00D766C2" w:rsidP="00D766C2">
      <w:pPr>
        <w:pBdr>
          <w:top w:val="nil"/>
          <w:left w:val="nil"/>
          <w:bottom w:val="nil"/>
          <w:right w:val="nil"/>
          <w:between w:val="nil"/>
        </w:pBdr>
        <w:ind w:left="180"/>
        <w:jc w:val="both"/>
        <w:rPr>
          <w:color w:val="000000"/>
          <w:lang w:val="en-US"/>
        </w:rPr>
      </w:pPr>
      <w:r>
        <w:rPr>
          <w:color w:val="000000"/>
          <w:lang w:val="en-US"/>
        </w:rPr>
        <w:t xml:space="preserve">Menurut </w:t>
      </w:r>
      <w:r w:rsidR="00716B7B" w:rsidRPr="00716B7B">
        <w:rPr>
          <w:color w:val="000000"/>
        </w:rPr>
        <w:t xml:space="preserve">Kasmir (2021:114) rasio profitabilitas merupakan rasio untuk menilai kemampuan </w:t>
      </w:r>
      <w:r w:rsidR="00716B7B">
        <w:rPr>
          <w:color w:val="000000"/>
          <w:lang w:val="en-US"/>
        </w:rPr>
        <w:t xml:space="preserve">sebuah </w:t>
      </w:r>
      <w:r w:rsidR="00716B7B" w:rsidRPr="00716B7B">
        <w:rPr>
          <w:color w:val="000000"/>
        </w:rPr>
        <w:t xml:space="preserve">perusahaan dalam </w:t>
      </w:r>
      <w:r w:rsidR="00716B7B">
        <w:rPr>
          <w:color w:val="000000"/>
          <w:lang w:val="en-US"/>
        </w:rPr>
        <w:t>mendapatkan</w:t>
      </w:r>
      <w:r w:rsidR="00716B7B" w:rsidRPr="00716B7B">
        <w:rPr>
          <w:color w:val="000000"/>
        </w:rPr>
        <w:t xml:space="preserve"> keuntungan.</w:t>
      </w:r>
      <w:r w:rsidR="00716B7B">
        <w:rPr>
          <w:color w:val="000000"/>
          <w:lang w:val="en-US"/>
        </w:rPr>
        <w:t xml:space="preserve"> </w:t>
      </w:r>
      <w:r w:rsidR="00716B7B" w:rsidRPr="00716B7B">
        <w:rPr>
          <w:color w:val="000000"/>
        </w:rPr>
        <w:t xml:space="preserve">Fahmi (2020:140) </w:t>
      </w:r>
      <w:r w:rsidR="00716B7B">
        <w:rPr>
          <w:color w:val="000000"/>
          <w:lang w:val="en-US"/>
        </w:rPr>
        <w:t>mengatakan</w:t>
      </w:r>
      <w:r w:rsidR="00716B7B" w:rsidRPr="00716B7B">
        <w:rPr>
          <w:color w:val="000000"/>
        </w:rPr>
        <w:t xml:space="preserve"> bahwa</w:t>
      </w:r>
      <w:r w:rsidR="00716B7B">
        <w:rPr>
          <w:color w:val="000000"/>
          <w:lang w:val="en-US"/>
        </w:rPr>
        <w:t xml:space="preserve"> </w:t>
      </w:r>
      <w:r w:rsidR="00716B7B" w:rsidRPr="00716B7B">
        <w:rPr>
          <w:color w:val="000000"/>
        </w:rPr>
        <w:t xml:space="preserve">rasio profitabilitas </w:t>
      </w:r>
      <w:r w:rsidR="00716B7B">
        <w:rPr>
          <w:color w:val="000000"/>
          <w:lang w:val="en-US"/>
        </w:rPr>
        <w:t xml:space="preserve">mampu </w:t>
      </w:r>
      <w:r w:rsidR="00716B7B" w:rsidRPr="00716B7B">
        <w:rPr>
          <w:color w:val="000000"/>
        </w:rPr>
        <w:t xml:space="preserve">mengukur efektivitas manajemen secara keseluruhan yang ditunjukkan </w:t>
      </w:r>
      <w:r w:rsidR="00716B7B">
        <w:rPr>
          <w:color w:val="000000"/>
          <w:lang w:val="en-US"/>
        </w:rPr>
        <w:t>dengan</w:t>
      </w:r>
      <w:r w:rsidR="00716B7B" w:rsidRPr="00716B7B">
        <w:rPr>
          <w:color w:val="000000"/>
        </w:rPr>
        <w:t xml:space="preserve"> besar kecilnya tingkat keuntungan yang diperoleh dalam </w:t>
      </w:r>
      <w:r w:rsidR="00716B7B">
        <w:rPr>
          <w:color w:val="000000"/>
          <w:lang w:val="en-US"/>
        </w:rPr>
        <w:t>kaita</w:t>
      </w:r>
      <w:r w:rsidR="00716B7B" w:rsidRPr="00716B7B">
        <w:rPr>
          <w:color w:val="000000"/>
        </w:rPr>
        <w:t>nnya dengan penjualan maupun investasi</w:t>
      </w:r>
      <w:r w:rsidR="00716B7B">
        <w:rPr>
          <w:color w:val="000000"/>
          <w:lang w:val="en-US"/>
        </w:rPr>
        <w:t>.</w:t>
      </w:r>
    </w:p>
    <w:p w:rsidR="00254C69" w:rsidRDefault="00160B31">
      <w:pPr>
        <w:pBdr>
          <w:top w:val="nil"/>
          <w:left w:val="nil"/>
          <w:bottom w:val="nil"/>
          <w:right w:val="nil"/>
          <w:between w:val="nil"/>
        </w:pBdr>
        <w:ind w:left="180"/>
        <w:jc w:val="both"/>
        <w:rPr>
          <w:color w:val="000000"/>
        </w:rPr>
      </w:pPr>
      <w:r w:rsidRPr="006D3704">
        <w:rPr>
          <w:color w:val="000000"/>
          <w:lang w:val="en-US"/>
        </w:rPr>
        <w:t xml:space="preserve">  </w:t>
      </w:r>
    </w:p>
    <w:p w:rsidR="00254C69" w:rsidRDefault="005F6436">
      <w:pPr>
        <w:pBdr>
          <w:top w:val="nil"/>
          <w:left w:val="nil"/>
          <w:bottom w:val="nil"/>
          <w:right w:val="nil"/>
          <w:between w:val="nil"/>
        </w:pBdr>
        <w:ind w:left="180"/>
        <w:jc w:val="both"/>
        <w:rPr>
          <w:b/>
          <w:color w:val="000000"/>
        </w:rPr>
      </w:pPr>
      <w:r>
        <w:rPr>
          <w:b/>
          <w:color w:val="000000"/>
        </w:rPr>
        <w:t>M</w:t>
      </w:r>
      <w:r>
        <w:rPr>
          <w:b/>
          <w:color w:val="000000"/>
        </w:rPr>
        <w:t>ETODE PENELITIAN</w:t>
      </w:r>
    </w:p>
    <w:p w:rsidR="00716B7B" w:rsidRPr="00716B7B" w:rsidRDefault="00716B7B" w:rsidP="00716B7B">
      <w:pPr>
        <w:pBdr>
          <w:top w:val="nil"/>
          <w:left w:val="nil"/>
          <w:bottom w:val="nil"/>
          <w:right w:val="nil"/>
          <w:between w:val="nil"/>
        </w:pBdr>
        <w:ind w:left="180"/>
        <w:jc w:val="both"/>
        <w:rPr>
          <w:color w:val="000000"/>
        </w:rPr>
      </w:pPr>
      <w:r w:rsidRPr="00716B7B">
        <w:rPr>
          <w:color w:val="000000"/>
        </w:rPr>
        <w:t xml:space="preserve">Penelitian ini menggunakan metode kuantitatif yaitu membandingkan rasio-rasio keuangan dalam laporan keuangan PT. Smartfren Telecom Tbk  </w:t>
      </w:r>
      <w:r>
        <w:rPr>
          <w:color w:val="000000"/>
          <w:lang w:val="en-US"/>
        </w:rPr>
        <w:t xml:space="preserve">periode </w:t>
      </w:r>
      <w:r w:rsidRPr="00716B7B">
        <w:rPr>
          <w:color w:val="000000"/>
        </w:rPr>
        <w:t>2018-2022. Metode penelitian adalah metode ilmiah untuk memperoleh data untuk tujuan dan kegunaan tertentu (Sugiyono, 2016). Sumber data yang digunakan dalam penelitian ini adalah data sekunder yang berasal dari publikasi laporan tahunan PT Smartfren Telecom Tbk. Data diperoleh dari website, jurnal ilmiah, jurnal ilmiah, dan artikel yang diterbitkan. Populasi dan sampel penelitian ini adalah laporan keuangan PT Smartfren Telecom Tbk tahun 2018-2022.</w:t>
      </w:r>
      <w:r w:rsidRPr="00716B7B">
        <w:rPr>
          <w:bCs/>
          <w:color w:val="000000"/>
        </w:rPr>
        <w:t xml:space="preserve"> </w:t>
      </w:r>
    </w:p>
    <w:p w:rsidR="00254C69" w:rsidRDefault="00716B7B" w:rsidP="00716B7B">
      <w:pPr>
        <w:pBdr>
          <w:top w:val="nil"/>
          <w:left w:val="nil"/>
          <w:bottom w:val="nil"/>
          <w:right w:val="nil"/>
          <w:between w:val="nil"/>
        </w:pBdr>
        <w:ind w:left="180"/>
        <w:jc w:val="both"/>
        <w:rPr>
          <w:color w:val="000000"/>
        </w:rPr>
      </w:pPr>
      <w:r w:rsidRPr="00716B7B">
        <w:rPr>
          <w:color w:val="000000"/>
        </w:rPr>
        <w:lastRenderedPageBreak/>
        <w:t>Metode analisis yang digunakan dalam penelitian ini adalah analisis statistik deskriptif (Syamsuddin dan Damayanti, 2011), yaitu menyoroti tren yang terjadi saat ini dengan menjelaskan  karakteristik individu atau kelompok. Penelitian ini hanya sebatas mendeskripsikan ciri-ciri suatu benda. Peneliti  memotret peristiwa-peristiwa dan kejadian-kejadian yang penting, kemudian mencoba mendeskripsikan atau mendeskripsikannya, sehingga penggunaan hasil penelitian  pada saat itu kurang tepat, meskipun akan digunakan di masa yang akan datang (Pandoyo dan Sofian, 2018).</w:t>
      </w:r>
    </w:p>
    <w:p w:rsidR="00254C69" w:rsidRDefault="00254C69">
      <w:pPr>
        <w:pBdr>
          <w:top w:val="nil"/>
          <w:left w:val="nil"/>
          <w:bottom w:val="nil"/>
          <w:right w:val="nil"/>
          <w:between w:val="nil"/>
        </w:pBdr>
        <w:ind w:left="180"/>
        <w:jc w:val="both"/>
        <w:rPr>
          <w:b/>
          <w:color w:val="000000"/>
        </w:rPr>
      </w:pPr>
    </w:p>
    <w:p w:rsidR="00254C69" w:rsidRDefault="005F6436">
      <w:pPr>
        <w:pBdr>
          <w:top w:val="nil"/>
          <w:left w:val="nil"/>
          <w:bottom w:val="nil"/>
          <w:right w:val="nil"/>
          <w:between w:val="nil"/>
        </w:pBdr>
        <w:ind w:left="180"/>
        <w:jc w:val="both"/>
        <w:rPr>
          <w:b/>
          <w:color w:val="000000"/>
        </w:rPr>
      </w:pPr>
      <w:r>
        <w:rPr>
          <w:b/>
          <w:color w:val="000000"/>
        </w:rPr>
        <w:t xml:space="preserve">HASIL DAN PEMBAHASAN </w:t>
      </w:r>
    </w:p>
    <w:p w:rsidR="00716B7B" w:rsidRPr="00716B7B" w:rsidRDefault="00716B7B" w:rsidP="00716B7B">
      <w:pPr>
        <w:ind w:left="180"/>
        <w:jc w:val="both"/>
        <w:rPr>
          <w:bCs/>
          <w:lang w:val="en-US"/>
        </w:rPr>
      </w:pPr>
    </w:p>
    <w:p w:rsidR="00716B7B" w:rsidRPr="00716B7B" w:rsidRDefault="00716B7B" w:rsidP="00716B7B">
      <w:pPr>
        <w:ind w:left="180"/>
        <w:jc w:val="both"/>
        <w:rPr>
          <w:b/>
        </w:rPr>
      </w:pPr>
      <w:r w:rsidRPr="00716B7B">
        <w:rPr>
          <w:b/>
          <w:lang w:val="en-US"/>
        </w:rPr>
        <w:t>3</w:t>
      </w:r>
      <w:r w:rsidRPr="00716B7B">
        <w:rPr>
          <w:b/>
        </w:rPr>
        <w:t xml:space="preserve">.1. </w:t>
      </w:r>
      <w:r w:rsidRPr="00716B7B">
        <w:rPr>
          <w:b/>
          <w:lang w:val="en-US"/>
        </w:rPr>
        <w:t>Rasio Likuiditas</w:t>
      </w:r>
    </w:p>
    <w:p w:rsidR="00716B7B" w:rsidRPr="00716B7B" w:rsidRDefault="00716B7B" w:rsidP="00716B7B">
      <w:pPr>
        <w:ind w:left="180"/>
        <w:jc w:val="both"/>
        <w:rPr>
          <w:lang w:val="en-US"/>
        </w:rPr>
      </w:pPr>
      <w:r w:rsidRPr="00716B7B">
        <w:tab/>
      </w:r>
    </w:p>
    <w:p w:rsidR="00716B7B" w:rsidRPr="00716B7B" w:rsidRDefault="00716B7B" w:rsidP="00716B7B">
      <w:pPr>
        <w:ind w:left="180"/>
        <w:jc w:val="center"/>
      </w:pPr>
      <w:r w:rsidRPr="00716B7B">
        <w:rPr>
          <w:lang w:val="en-US"/>
        </w:rPr>
        <w:drawing>
          <wp:inline distT="0" distB="0" distL="0" distR="0" wp14:anchorId="57E2AADD" wp14:editId="2DC1B81A">
            <wp:extent cx="3562597" cy="2220595"/>
            <wp:effectExtent l="0" t="0" r="0" b="8255"/>
            <wp:docPr id="1217856132" name="Chart 1">
              <a:extLst xmlns:a="http://schemas.openxmlformats.org/drawingml/2006/main">
                <a:ext uri="{FF2B5EF4-FFF2-40B4-BE49-F238E27FC236}">
                  <a16:creationId xmlns:a16="http://schemas.microsoft.com/office/drawing/2014/main" id="{41047B99-1D4B-4508-018F-B090D5564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16B7B" w:rsidRPr="00716B7B" w:rsidRDefault="00716B7B" w:rsidP="00716B7B">
      <w:pPr>
        <w:ind w:left="180"/>
        <w:jc w:val="center"/>
      </w:pPr>
      <w:r w:rsidRPr="00716B7B">
        <w:rPr>
          <w:b/>
          <w:bCs/>
        </w:rPr>
        <w:t>Gambar</w:t>
      </w:r>
      <w:r w:rsidRPr="00716B7B">
        <w:rPr>
          <w:b/>
          <w:bCs/>
          <w:lang w:val="en-US"/>
        </w:rPr>
        <w:t xml:space="preserve"> 1.</w:t>
      </w:r>
      <w:r w:rsidRPr="00716B7B">
        <w:rPr>
          <w:lang w:val="en-US"/>
        </w:rPr>
        <w:t xml:space="preserve"> Rasio Lancar (</w:t>
      </w:r>
      <w:r w:rsidRPr="00716B7B">
        <w:rPr>
          <w:i/>
          <w:iCs/>
          <w:lang w:val="en-US"/>
        </w:rPr>
        <w:t>Current Ratio</w:t>
      </w:r>
      <w:r w:rsidRPr="00716B7B">
        <w:rPr>
          <w:lang w:val="en-US"/>
        </w:rPr>
        <w:t>)</w:t>
      </w:r>
    </w:p>
    <w:p w:rsidR="00716B7B" w:rsidRPr="00716B7B" w:rsidRDefault="00716B7B" w:rsidP="00716B7B">
      <w:pPr>
        <w:ind w:left="180"/>
        <w:jc w:val="both"/>
        <w:rPr>
          <w:lang w:val="en-US"/>
        </w:rPr>
      </w:pPr>
      <w:r w:rsidRPr="00716B7B">
        <w:rPr>
          <w:lang w:val="en-US"/>
        </w:rPr>
        <w:tab/>
      </w:r>
    </w:p>
    <w:p w:rsidR="00716B7B" w:rsidRDefault="00716B7B" w:rsidP="00716B7B">
      <w:pPr>
        <w:ind w:left="180"/>
        <w:jc w:val="both"/>
        <w:rPr>
          <w:lang w:val="en-US"/>
        </w:rPr>
      </w:pPr>
      <w:r w:rsidRPr="00716B7B">
        <w:rPr>
          <w:lang w:val="en-US"/>
        </w:rPr>
        <w:t xml:space="preserve">Rasio lancar atau </w:t>
      </w:r>
      <w:r w:rsidRPr="00716B7B">
        <w:rPr>
          <w:i/>
          <w:iCs/>
          <w:lang w:val="en-US"/>
        </w:rPr>
        <w:t>Current ratio</w:t>
      </w:r>
      <w:r w:rsidRPr="00716B7B">
        <w:rPr>
          <w:lang w:val="en-US"/>
        </w:rPr>
        <w:t xml:space="preserve"> didefinisikan sebagai kemampuan untuk memenuhi kewajiban hutang jangka pendek yang jatuh tempo dengan asset jangka pendek. Dari data laporan tahunan PT.Smartfren, dapat diketahui bahwa rasio lancar pada periode tahun 2018 hingga tahun 2022 berfluktuasi. Nilai tersebut adalah 33% untuk tahun 2018, 29% untuk tahun 2019, 31% untuk tahun 2020, 24% untuk tahun 2021 dan 27% untuk tahun 2022.</w:t>
      </w:r>
      <w:r>
        <w:rPr>
          <w:lang w:val="en-US"/>
        </w:rPr>
        <w:t xml:space="preserve"> </w:t>
      </w:r>
      <w:bookmarkStart w:id="0" w:name="_Hlk152682429"/>
    </w:p>
    <w:p w:rsidR="00716B7B" w:rsidRPr="00716B7B" w:rsidRDefault="00716B7B" w:rsidP="00716B7B">
      <w:pPr>
        <w:ind w:left="180"/>
        <w:jc w:val="both"/>
        <w:rPr>
          <w:lang w:val="en-US"/>
        </w:rPr>
      </w:pPr>
      <w:r w:rsidRPr="00716B7B">
        <w:rPr>
          <w:lang w:val="en-US"/>
        </w:rPr>
        <w:t>Rata-rata rasio lancar PT.Smartfren periode tahun 2018-2022 adalah sebesar 29% atau 0.29. Hal ini dapat dikatakan bahwa keadaan keuangan PT.Smartfren dalam kondisi kurang baik, dikarenakan nilai rasio lancar tidak mencapai standar industry untuk perusahaan sehat yaitu sebesar 1 – 5.</w:t>
      </w:r>
      <w:bookmarkEnd w:id="0"/>
      <w:r w:rsidRPr="00716B7B">
        <w:rPr>
          <w:lang w:val="en-US"/>
        </w:rPr>
        <w:t xml:space="preserve"> Berbagai faktor bisa menjadi penyebabnya. Kemungkinan-kemungkinannya secara umum dengan melihat pada latar belakang perusahaan dan iklim industrinya antara lain alokasi pemakaian kas dan setara kas yang kurang efisien, kebijakan piutang usaha yang tidak optimal, serta pengelolaan modal yang juga kurang efektif. </w:t>
      </w:r>
    </w:p>
    <w:p w:rsidR="00716B7B" w:rsidRDefault="00716B7B" w:rsidP="00716B7B">
      <w:pPr>
        <w:ind w:left="180"/>
        <w:jc w:val="both"/>
        <w:rPr>
          <w:lang w:val="en-US"/>
        </w:rPr>
      </w:pPr>
      <w:r w:rsidRPr="00716B7B">
        <w:rPr>
          <w:lang w:val="en-US"/>
        </w:rPr>
        <w:t>Bila dikorelasikan dengan data perkembangan jumlah infrastruktur BTS (</w:t>
      </w:r>
      <w:r w:rsidRPr="00716B7B">
        <w:rPr>
          <w:i/>
          <w:iCs/>
          <w:lang w:val="en-US"/>
        </w:rPr>
        <w:t>Base Transceiver Station</w:t>
      </w:r>
      <w:r w:rsidRPr="00716B7B">
        <w:rPr>
          <w:lang w:val="en-US"/>
        </w:rPr>
        <w:t>) yang dimiliki PT.Smartfren selama periode tahun 2018-2022 adalah sebagai berikut:</w:t>
      </w:r>
    </w:p>
    <w:p w:rsidR="00716B7B" w:rsidRPr="00716B7B" w:rsidRDefault="00716B7B" w:rsidP="00716B7B">
      <w:pPr>
        <w:ind w:left="180"/>
        <w:jc w:val="both"/>
      </w:pPr>
    </w:p>
    <w:p w:rsidR="00716B7B" w:rsidRPr="00716B7B" w:rsidRDefault="00716B7B" w:rsidP="00716B7B">
      <w:pPr>
        <w:ind w:left="180"/>
        <w:jc w:val="center"/>
        <w:rPr>
          <w:lang w:val="en-US"/>
        </w:rPr>
      </w:pPr>
      <w:r w:rsidRPr="00716B7B">
        <w:rPr>
          <w:b/>
          <w:bCs/>
          <w:lang w:val="en-US"/>
        </w:rPr>
        <w:t>Table 1:</w:t>
      </w:r>
      <w:r w:rsidRPr="00716B7B">
        <w:rPr>
          <w:lang w:val="en-US"/>
        </w:rPr>
        <w:t xml:space="preserve"> BTS (</w:t>
      </w:r>
      <w:r w:rsidRPr="00716B7B">
        <w:rPr>
          <w:i/>
          <w:iCs/>
          <w:lang w:val="en-US"/>
        </w:rPr>
        <w:t>Base Transceiver Station</w:t>
      </w:r>
      <w:r w:rsidRPr="00716B7B">
        <w:rPr>
          <w:lang w:val="en-US"/>
        </w:rPr>
        <w:t>)</w:t>
      </w:r>
    </w:p>
    <w:tbl>
      <w:tblPr>
        <w:tblStyle w:val="TableGrid"/>
        <w:tblW w:w="0" w:type="auto"/>
        <w:jc w:val="center"/>
        <w:tblLook w:val="04A0" w:firstRow="1" w:lastRow="0" w:firstColumn="1" w:lastColumn="0" w:noHBand="0" w:noVBand="1"/>
      </w:tblPr>
      <w:tblGrid>
        <w:gridCol w:w="2893"/>
        <w:gridCol w:w="2142"/>
      </w:tblGrid>
      <w:tr w:rsidR="00716B7B" w:rsidRPr="00716B7B" w:rsidTr="00716B7B">
        <w:trPr>
          <w:trHeight w:val="377"/>
          <w:jc w:val="center"/>
        </w:trPr>
        <w:tc>
          <w:tcPr>
            <w:tcW w:w="5035" w:type="dxa"/>
            <w:gridSpan w:val="2"/>
          </w:tcPr>
          <w:p w:rsidR="00716B7B" w:rsidRPr="00716B7B" w:rsidRDefault="00716B7B" w:rsidP="00716B7B">
            <w:pPr>
              <w:ind w:left="180"/>
              <w:jc w:val="center"/>
              <w:rPr>
                <w:lang w:val="en-US"/>
              </w:rPr>
            </w:pPr>
            <w:r w:rsidRPr="00716B7B">
              <w:rPr>
                <w:lang w:val="en-US"/>
              </w:rPr>
              <w:t>Jumlah BTS (unit)</w:t>
            </w:r>
          </w:p>
        </w:tc>
      </w:tr>
      <w:tr w:rsidR="00716B7B" w:rsidRPr="00716B7B" w:rsidTr="00716B7B">
        <w:trPr>
          <w:trHeight w:val="204"/>
          <w:jc w:val="center"/>
        </w:trPr>
        <w:tc>
          <w:tcPr>
            <w:tcW w:w="2893" w:type="dxa"/>
          </w:tcPr>
          <w:p w:rsidR="00716B7B" w:rsidRPr="00716B7B" w:rsidRDefault="00716B7B" w:rsidP="00716B7B">
            <w:pPr>
              <w:ind w:left="180"/>
              <w:jc w:val="center"/>
              <w:rPr>
                <w:lang w:val="en-US"/>
              </w:rPr>
            </w:pPr>
            <w:r w:rsidRPr="00716B7B">
              <w:rPr>
                <w:lang w:val="en-US"/>
              </w:rPr>
              <w:t>Tahun 2018</w:t>
            </w:r>
          </w:p>
        </w:tc>
        <w:tc>
          <w:tcPr>
            <w:tcW w:w="2142" w:type="dxa"/>
          </w:tcPr>
          <w:p w:rsidR="00716B7B" w:rsidRPr="00716B7B" w:rsidRDefault="00716B7B" w:rsidP="00716B7B">
            <w:pPr>
              <w:ind w:left="180"/>
              <w:jc w:val="center"/>
              <w:rPr>
                <w:lang w:val="en-US"/>
              </w:rPr>
            </w:pPr>
            <w:r w:rsidRPr="00716B7B">
              <w:rPr>
                <w:lang w:val="en-US"/>
              </w:rPr>
              <w:t>19,032</w:t>
            </w:r>
          </w:p>
        </w:tc>
      </w:tr>
      <w:tr w:rsidR="00716B7B" w:rsidRPr="00716B7B" w:rsidTr="00716B7B">
        <w:trPr>
          <w:trHeight w:val="377"/>
          <w:jc w:val="center"/>
        </w:trPr>
        <w:tc>
          <w:tcPr>
            <w:tcW w:w="2893" w:type="dxa"/>
          </w:tcPr>
          <w:p w:rsidR="00716B7B" w:rsidRPr="00716B7B" w:rsidRDefault="00716B7B" w:rsidP="00716B7B">
            <w:pPr>
              <w:ind w:left="180"/>
              <w:jc w:val="center"/>
              <w:rPr>
                <w:lang w:val="en-US"/>
              </w:rPr>
            </w:pPr>
            <w:r w:rsidRPr="00716B7B">
              <w:rPr>
                <w:lang w:val="en-US"/>
              </w:rPr>
              <w:t>Tahun 2019</w:t>
            </w:r>
          </w:p>
        </w:tc>
        <w:tc>
          <w:tcPr>
            <w:tcW w:w="2142" w:type="dxa"/>
          </w:tcPr>
          <w:p w:rsidR="00716B7B" w:rsidRPr="00716B7B" w:rsidRDefault="00716B7B" w:rsidP="00716B7B">
            <w:pPr>
              <w:ind w:left="180"/>
              <w:jc w:val="center"/>
              <w:rPr>
                <w:lang w:val="en-US"/>
              </w:rPr>
            </w:pPr>
            <w:r w:rsidRPr="00716B7B">
              <w:rPr>
                <w:lang w:val="en-US"/>
              </w:rPr>
              <w:t>31,143</w:t>
            </w:r>
          </w:p>
        </w:tc>
      </w:tr>
      <w:tr w:rsidR="00716B7B" w:rsidRPr="00716B7B" w:rsidTr="00716B7B">
        <w:trPr>
          <w:trHeight w:val="377"/>
          <w:jc w:val="center"/>
        </w:trPr>
        <w:tc>
          <w:tcPr>
            <w:tcW w:w="2893" w:type="dxa"/>
          </w:tcPr>
          <w:p w:rsidR="00716B7B" w:rsidRPr="00716B7B" w:rsidRDefault="00716B7B" w:rsidP="00716B7B">
            <w:pPr>
              <w:ind w:left="180"/>
              <w:jc w:val="center"/>
              <w:rPr>
                <w:lang w:val="en-US"/>
              </w:rPr>
            </w:pPr>
            <w:r w:rsidRPr="00716B7B">
              <w:rPr>
                <w:lang w:val="en-US"/>
              </w:rPr>
              <w:t>Tahun 2020</w:t>
            </w:r>
          </w:p>
        </w:tc>
        <w:tc>
          <w:tcPr>
            <w:tcW w:w="2142" w:type="dxa"/>
          </w:tcPr>
          <w:p w:rsidR="00716B7B" w:rsidRPr="00716B7B" w:rsidRDefault="00716B7B" w:rsidP="00716B7B">
            <w:pPr>
              <w:ind w:left="180"/>
              <w:jc w:val="center"/>
              <w:rPr>
                <w:lang w:val="en-US"/>
              </w:rPr>
            </w:pPr>
            <w:r w:rsidRPr="00716B7B">
              <w:rPr>
                <w:lang w:val="en-US"/>
              </w:rPr>
              <w:t>38,814</w:t>
            </w:r>
          </w:p>
        </w:tc>
      </w:tr>
      <w:tr w:rsidR="00716B7B" w:rsidRPr="00716B7B" w:rsidTr="00716B7B">
        <w:trPr>
          <w:trHeight w:val="390"/>
          <w:jc w:val="center"/>
        </w:trPr>
        <w:tc>
          <w:tcPr>
            <w:tcW w:w="2893" w:type="dxa"/>
          </w:tcPr>
          <w:p w:rsidR="00716B7B" w:rsidRPr="00716B7B" w:rsidRDefault="00716B7B" w:rsidP="00716B7B">
            <w:pPr>
              <w:ind w:left="180"/>
              <w:jc w:val="center"/>
              <w:rPr>
                <w:lang w:val="en-US"/>
              </w:rPr>
            </w:pPr>
            <w:r w:rsidRPr="00716B7B">
              <w:rPr>
                <w:lang w:val="en-US"/>
              </w:rPr>
              <w:lastRenderedPageBreak/>
              <w:t>Tahun 2021</w:t>
            </w:r>
          </w:p>
        </w:tc>
        <w:tc>
          <w:tcPr>
            <w:tcW w:w="2142" w:type="dxa"/>
          </w:tcPr>
          <w:p w:rsidR="00716B7B" w:rsidRPr="00716B7B" w:rsidRDefault="00716B7B" w:rsidP="00716B7B">
            <w:pPr>
              <w:ind w:left="180"/>
              <w:jc w:val="center"/>
              <w:rPr>
                <w:lang w:val="en-US"/>
              </w:rPr>
            </w:pPr>
            <w:r w:rsidRPr="00716B7B">
              <w:rPr>
                <w:lang w:val="en-US"/>
              </w:rPr>
              <w:t>41,845</w:t>
            </w:r>
          </w:p>
        </w:tc>
      </w:tr>
      <w:tr w:rsidR="00716B7B" w:rsidRPr="00716B7B" w:rsidTr="00716B7B">
        <w:trPr>
          <w:trHeight w:val="219"/>
          <w:jc w:val="center"/>
        </w:trPr>
        <w:tc>
          <w:tcPr>
            <w:tcW w:w="2893" w:type="dxa"/>
          </w:tcPr>
          <w:p w:rsidR="00716B7B" w:rsidRPr="00716B7B" w:rsidRDefault="00716B7B" w:rsidP="00716B7B">
            <w:pPr>
              <w:ind w:left="180"/>
              <w:jc w:val="center"/>
              <w:rPr>
                <w:lang w:val="en-US"/>
              </w:rPr>
            </w:pPr>
            <w:r w:rsidRPr="00716B7B">
              <w:rPr>
                <w:lang w:val="en-US"/>
              </w:rPr>
              <w:t>Tahun 2022</w:t>
            </w:r>
          </w:p>
        </w:tc>
        <w:tc>
          <w:tcPr>
            <w:tcW w:w="2142" w:type="dxa"/>
          </w:tcPr>
          <w:p w:rsidR="00716B7B" w:rsidRPr="00716B7B" w:rsidRDefault="00716B7B" w:rsidP="00716B7B">
            <w:pPr>
              <w:ind w:left="180"/>
              <w:jc w:val="center"/>
              <w:rPr>
                <w:lang w:val="en-US"/>
              </w:rPr>
            </w:pPr>
            <w:r w:rsidRPr="00716B7B">
              <w:rPr>
                <w:lang w:val="en-US"/>
              </w:rPr>
              <w:t>43,537</w:t>
            </w:r>
          </w:p>
        </w:tc>
      </w:tr>
    </w:tbl>
    <w:p w:rsidR="00716B7B" w:rsidRPr="00716B7B" w:rsidRDefault="00716B7B" w:rsidP="00716B7B">
      <w:pPr>
        <w:ind w:left="180"/>
        <w:jc w:val="center"/>
      </w:pPr>
      <w:r w:rsidRPr="00716B7B">
        <w:rPr>
          <w:lang w:val="nb-NO"/>
        </w:rPr>
        <w:t>Sumber: Data diolah (2023)</w:t>
      </w:r>
    </w:p>
    <w:p w:rsidR="00716B7B" w:rsidRPr="00716B7B" w:rsidRDefault="00716B7B" w:rsidP="00716B7B">
      <w:pPr>
        <w:ind w:left="180"/>
        <w:jc w:val="both"/>
      </w:pPr>
    </w:p>
    <w:p w:rsidR="00716B7B" w:rsidRPr="00716B7B" w:rsidRDefault="00716B7B" w:rsidP="00716B7B">
      <w:pPr>
        <w:ind w:left="180"/>
        <w:jc w:val="both"/>
        <w:rPr>
          <w:lang w:val="nb-NO"/>
        </w:rPr>
      </w:pPr>
      <w:r w:rsidRPr="00716B7B">
        <w:t xml:space="preserve">Berdasarkan data di atas bisa terlihat bahwa terjadi penurunan nilai rasio lancar saat terdapat penambahan jumlah BTS yang cukup banyak, yaitu pada tahun 2019 dan 2021. </w:t>
      </w:r>
      <w:r w:rsidRPr="00716B7B">
        <w:rPr>
          <w:lang w:val="nb-NO"/>
        </w:rPr>
        <w:t>Hal ini sangat beralasan dikarenakan pembangunan infrastruktur tentunya membutuhkan alokasi kas yang besar.</w:t>
      </w:r>
    </w:p>
    <w:p w:rsidR="00716B7B" w:rsidRPr="00716B7B" w:rsidRDefault="00716B7B" w:rsidP="00716B7B">
      <w:pPr>
        <w:ind w:left="180"/>
        <w:jc w:val="both"/>
      </w:pPr>
    </w:p>
    <w:p w:rsidR="00716B7B" w:rsidRPr="00716B7B" w:rsidRDefault="00716B7B" w:rsidP="00716B7B">
      <w:pPr>
        <w:ind w:left="180"/>
        <w:jc w:val="both"/>
        <w:rPr>
          <w:b/>
          <w:i/>
          <w:iCs/>
          <w:lang w:val="en-US"/>
        </w:rPr>
      </w:pPr>
      <w:r w:rsidRPr="00716B7B">
        <w:rPr>
          <w:b/>
          <w:lang w:val="en-US"/>
        </w:rPr>
        <w:t>3</w:t>
      </w:r>
      <w:r w:rsidRPr="00716B7B">
        <w:rPr>
          <w:b/>
        </w:rPr>
        <w:t>.</w:t>
      </w:r>
      <w:r w:rsidRPr="00716B7B">
        <w:rPr>
          <w:b/>
          <w:lang w:val="en-US"/>
        </w:rPr>
        <w:t>2</w:t>
      </w:r>
      <w:r w:rsidRPr="00716B7B">
        <w:rPr>
          <w:b/>
        </w:rPr>
        <w:t xml:space="preserve">. </w:t>
      </w:r>
      <w:r w:rsidRPr="00716B7B">
        <w:rPr>
          <w:b/>
          <w:lang w:val="en-US"/>
        </w:rPr>
        <w:t>Rasio Solvabilitas/</w:t>
      </w:r>
      <w:r w:rsidRPr="00716B7B">
        <w:rPr>
          <w:b/>
          <w:i/>
          <w:iCs/>
          <w:lang w:val="en-US"/>
        </w:rPr>
        <w:t xml:space="preserve">Leverage </w:t>
      </w:r>
    </w:p>
    <w:p w:rsidR="00716B7B" w:rsidRPr="00716B7B" w:rsidRDefault="00716B7B" w:rsidP="00716B7B">
      <w:pPr>
        <w:ind w:left="180"/>
        <w:jc w:val="both"/>
      </w:pPr>
    </w:p>
    <w:p w:rsidR="00716B7B" w:rsidRPr="00716B7B" w:rsidRDefault="00716B7B" w:rsidP="00716B7B">
      <w:pPr>
        <w:ind w:left="180"/>
        <w:jc w:val="center"/>
      </w:pPr>
      <w:r w:rsidRPr="00716B7B">
        <w:rPr>
          <w:lang w:val="en-US"/>
        </w:rPr>
        <w:drawing>
          <wp:inline distT="0" distB="0" distL="0" distR="0" wp14:anchorId="7BC092C9" wp14:editId="25CC24F4">
            <wp:extent cx="3562350" cy="2172970"/>
            <wp:effectExtent l="0" t="0" r="0" b="17780"/>
            <wp:docPr id="457213381" name="Chart 1">
              <a:extLst xmlns:a="http://schemas.openxmlformats.org/drawingml/2006/main">
                <a:ext uri="{FF2B5EF4-FFF2-40B4-BE49-F238E27FC236}">
                  <a16:creationId xmlns:a16="http://schemas.microsoft.com/office/drawing/2014/main" id="{2FF7C63B-1F87-A9D1-01D7-562F2FAF25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6B7B" w:rsidRPr="00716B7B" w:rsidRDefault="00716B7B" w:rsidP="00716B7B">
      <w:pPr>
        <w:ind w:left="180"/>
        <w:jc w:val="center"/>
      </w:pPr>
      <w:r w:rsidRPr="00716B7B">
        <w:rPr>
          <w:b/>
          <w:bCs/>
        </w:rPr>
        <w:t>Gambar</w:t>
      </w:r>
      <w:r w:rsidRPr="00716B7B">
        <w:rPr>
          <w:b/>
          <w:bCs/>
          <w:lang w:val="en-US"/>
        </w:rPr>
        <w:t xml:space="preserve"> 2</w:t>
      </w:r>
      <w:bookmarkStart w:id="1" w:name="_Hlk152679605"/>
      <w:r w:rsidRPr="00716B7B">
        <w:rPr>
          <w:b/>
          <w:bCs/>
          <w:lang w:val="en-US"/>
        </w:rPr>
        <w:t xml:space="preserve">. </w:t>
      </w:r>
      <w:r w:rsidRPr="00716B7B">
        <w:rPr>
          <w:i/>
          <w:iCs/>
          <w:lang w:val="en-US"/>
        </w:rPr>
        <w:t>Debt to Equity Ratio</w:t>
      </w:r>
      <w:bookmarkEnd w:id="1"/>
    </w:p>
    <w:p w:rsidR="00716B7B" w:rsidRPr="00716B7B" w:rsidRDefault="00716B7B" w:rsidP="00716B7B">
      <w:pPr>
        <w:ind w:left="180"/>
        <w:jc w:val="both"/>
        <w:rPr>
          <w:lang w:val="en-US"/>
        </w:rPr>
      </w:pPr>
    </w:p>
    <w:p w:rsidR="00716B7B" w:rsidRPr="00716B7B" w:rsidRDefault="00716B7B" w:rsidP="00716B7B">
      <w:pPr>
        <w:ind w:left="180"/>
        <w:jc w:val="both"/>
        <w:rPr>
          <w:lang w:val="en-US"/>
        </w:rPr>
      </w:pPr>
      <w:r w:rsidRPr="00716B7B">
        <w:rPr>
          <w:lang w:val="en-US"/>
        </w:rPr>
        <w:t>Rasio total hutang terhadap ekuitas PT.Smartfren terus mengalami peningkatan dari 103% di tahun 2018 hingga mencapai puncak tertingginya sebesar 243% di tahun 2021, dan selanjutnya menurun di tahun 2022 sebesar 195%. Hal ini menunjukkan bahwa pendanaan aktivitas operasional PT.Smartfren didanai oleh hutang, dengan perbandingan terhadap ekuitas lebih dari 100%, di atas standard rata-rata industry sebesar 90%.</w:t>
      </w:r>
    </w:p>
    <w:p w:rsidR="00716B7B" w:rsidRPr="00716B7B" w:rsidRDefault="00716B7B" w:rsidP="00716B7B">
      <w:pPr>
        <w:ind w:left="180"/>
        <w:jc w:val="both"/>
        <w:rPr>
          <w:lang w:val="en-US"/>
        </w:rPr>
      </w:pPr>
    </w:p>
    <w:p w:rsidR="00716B7B" w:rsidRPr="00716B7B" w:rsidRDefault="00716B7B" w:rsidP="00716B7B">
      <w:pPr>
        <w:ind w:left="180"/>
        <w:jc w:val="center"/>
      </w:pPr>
      <w:r w:rsidRPr="00716B7B">
        <w:rPr>
          <w:lang w:val="en-US"/>
        </w:rPr>
        <w:drawing>
          <wp:inline distT="0" distB="0" distL="0" distR="0" wp14:anchorId="23B268E7" wp14:editId="0E6F2B9B">
            <wp:extent cx="3538220" cy="2327564"/>
            <wp:effectExtent l="0" t="0" r="5080" b="15875"/>
            <wp:docPr id="2072518799" name="Chart 1">
              <a:extLst xmlns:a="http://schemas.openxmlformats.org/drawingml/2006/main">
                <a:ext uri="{FF2B5EF4-FFF2-40B4-BE49-F238E27FC236}">
                  <a16:creationId xmlns:a16="http://schemas.microsoft.com/office/drawing/2014/main" id="{53A8B13D-4AE5-4531-B841-0B9FDD50D7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6B7B" w:rsidRPr="00716B7B" w:rsidRDefault="00716B7B" w:rsidP="00716B7B">
      <w:pPr>
        <w:ind w:left="180"/>
        <w:jc w:val="center"/>
      </w:pPr>
      <w:r w:rsidRPr="00716B7B">
        <w:rPr>
          <w:b/>
          <w:bCs/>
        </w:rPr>
        <w:t xml:space="preserve">Gambar 3. </w:t>
      </w:r>
      <w:r w:rsidRPr="00716B7B">
        <w:rPr>
          <w:i/>
          <w:iCs/>
        </w:rPr>
        <w:t>Debt to Assets Ratio</w:t>
      </w:r>
    </w:p>
    <w:p w:rsidR="00716B7B" w:rsidRPr="00716B7B" w:rsidRDefault="00716B7B" w:rsidP="00716B7B">
      <w:pPr>
        <w:ind w:left="180"/>
        <w:jc w:val="both"/>
      </w:pPr>
    </w:p>
    <w:p w:rsidR="00716B7B" w:rsidRPr="00716B7B" w:rsidRDefault="00716B7B" w:rsidP="00716B7B">
      <w:pPr>
        <w:ind w:left="180"/>
        <w:jc w:val="both"/>
      </w:pPr>
      <w:r w:rsidRPr="00716B7B">
        <w:lastRenderedPageBreak/>
        <w:t>Rasio total hutang terhadap modal PT.Smartfren juga terus mengalami peningkatan dari 50.6% di tahun 2018 hingga mencapai titik tertingginya pada angka 70.8% di tahun 2021. Tapi kemudian turun menjadi 66.1% di tahun 2022. Nilai rasio hutang terhadap modal selama periode tahun 2018 – 2022 secara keseluruhan masih di atas standard rat-rata industry sebesar 35%.</w:t>
      </w:r>
    </w:p>
    <w:p w:rsidR="00716B7B" w:rsidRPr="00716B7B" w:rsidRDefault="00716B7B" w:rsidP="00716B7B">
      <w:pPr>
        <w:ind w:left="180"/>
        <w:jc w:val="both"/>
      </w:pPr>
    </w:p>
    <w:p w:rsidR="00716B7B" w:rsidRPr="00716B7B" w:rsidRDefault="00716B7B" w:rsidP="00716B7B">
      <w:pPr>
        <w:ind w:left="180"/>
        <w:jc w:val="both"/>
        <w:rPr>
          <w:lang w:val="en-US"/>
        </w:rPr>
      </w:pPr>
    </w:p>
    <w:p w:rsidR="00716B7B" w:rsidRPr="00716B7B" w:rsidRDefault="00716B7B" w:rsidP="00716B7B">
      <w:pPr>
        <w:ind w:left="180"/>
        <w:jc w:val="center"/>
      </w:pPr>
      <w:r w:rsidRPr="00716B7B">
        <w:rPr>
          <w:lang w:val="en-US"/>
        </w:rPr>
        <w:drawing>
          <wp:inline distT="0" distB="0" distL="0" distR="0" wp14:anchorId="59E889F0" wp14:editId="4900919B">
            <wp:extent cx="3669030" cy="2303813"/>
            <wp:effectExtent l="0" t="0" r="7620" b="1270"/>
            <wp:docPr id="612066986" name="Chart 1">
              <a:extLst xmlns:a="http://schemas.openxmlformats.org/drawingml/2006/main">
                <a:ext uri="{FF2B5EF4-FFF2-40B4-BE49-F238E27FC236}">
                  <a16:creationId xmlns:a16="http://schemas.microsoft.com/office/drawing/2014/main" id="{A46C3B5D-6B68-431E-A8D3-E8632A5EE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16B7B" w:rsidRPr="00716B7B" w:rsidRDefault="00716B7B" w:rsidP="00716B7B">
      <w:pPr>
        <w:ind w:left="180"/>
        <w:jc w:val="center"/>
      </w:pPr>
      <w:r w:rsidRPr="00716B7B">
        <w:rPr>
          <w:b/>
          <w:bCs/>
        </w:rPr>
        <w:t xml:space="preserve">Gambar </w:t>
      </w:r>
      <w:r w:rsidRPr="00716B7B">
        <w:rPr>
          <w:b/>
          <w:bCs/>
          <w:lang w:val="en-US"/>
        </w:rPr>
        <w:t>4</w:t>
      </w:r>
      <w:r w:rsidRPr="00716B7B">
        <w:rPr>
          <w:b/>
          <w:bCs/>
        </w:rPr>
        <w:t xml:space="preserve">. </w:t>
      </w:r>
      <w:r w:rsidRPr="00716B7B">
        <w:rPr>
          <w:i/>
          <w:iCs/>
          <w:lang w:val="en-US"/>
        </w:rPr>
        <w:t>Long Term Debt to Equity</w:t>
      </w:r>
    </w:p>
    <w:p w:rsidR="00716B7B" w:rsidRPr="00716B7B" w:rsidRDefault="00716B7B" w:rsidP="00716B7B">
      <w:pPr>
        <w:ind w:left="180"/>
        <w:jc w:val="both"/>
      </w:pPr>
    </w:p>
    <w:p w:rsidR="00716B7B" w:rsidRPr="00716B7B" w:rsidRDefault="00716B7B" w:rsidP="00716B7B">
      <w:pPr>
        <w:ind w:left="180"/>
        <w:jc w:val="both"/>
      </w:pPr>
      <w:r w:rsidRPr="00716B7B">
        <w:t>Perbandingan hutang jangka panjang PT.Smartfren terhadap modal sendiri menunjukkan adanya peningkatan selama periode tahun 2018 – 2021, dan menurun di tahun 2022. Nilai rasio long term debt to equity selama periode 5 tahun tersebut menunjukkan ketergantungan perusahaan yang tinggi terhadap hutang jangka Panjang dalam membiayai aktivitasnya.</w:t>
      </w:r>
    </w:p>
    <w:p w:rsidR="00716B7B" w:rsidRPr="00716B7B" w:rsidRDefault="00716B7B" w:rsidP="00716B7B">
      <w:pPr>
        <w:ind w:left="180"/>
        <w:jc w:val="both"/>
      </w:pPr>
      <w:r w:rsidRPr="00716B7B">
        <w:t xml:space="preserve"> </w:t>
      </w:r>
    </w:p>
    <w:p w:rsidR="00716B7B" w:rsidRPr="00716B7B" w:rsidRDefault="00716B7B" w:rsidP="00716B7B">
      <w:pPr>
        <w:ind w:left="180"/>
        <w:jc w:val="both"/>
        <w:rPr>
          <w:b/>
        </w:rPr>
      </w:pPr>
    </w:p>
    <w:p w:rsidR="00716B7B" w:rsidRPr="00716B7B" w:rsidRDefault="00716B7B" w:rsidP="00716B7B">
      <w:pPr>
        <w:ind w:left="180"/>
        <w:jc w:val="center"/>
      </w:pPr>
      <w:r w:rsidRPr="00716B7B">
        <w:rPr>
          <w:lang w:val="en-US"/>
        </w:rPr>
        <w:drawing>
          <wp:inline distT="0" distB="0" distL="0" distR="0" wp14:anchorId="35DEC3D9" wp14:editId="3E0C1BD2">
            <wp:extent cx="3740150" cy="2339439"/>
            <wp:effectExtent l="0" t="0" r="12700" b="3810"/>
            <wp:docPr id="2135096485" name="Chart 1">
              <a:extLst xmlns:a="http://schemas.openxmlformats.org/drawingml/2006/main">
                <a:ext uri="{FF2B5EF4-FFF2-40B4-BE49-F238E27FC236}">
                  <a16:creationId xmlns:a16="http://schemas.microsoft.com/office/drawing/2014/main" id="{42450147-A31C-4CA7-B6F8-A0E3B67301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6B7B" w:rsidRPr="00716B7B" w:rsidRDefault="00716B7B" w:rsidP="00716B7B">
      <w:pPr>
        <w:ind w:left="180"/>
        <w:jc w:val="center"/>
      </w:pPr>
      <w:r w:rsidRPr="00716B7B">
        <w:rPr>
          <w:b/>
          <w:bCs/>
        </w:rPr>
        <w:t xml:space="preserve">Gambar </w:t>
      </w:r>
      <w:r w:rsidRPr="00716B7B">
        <w:rPr>
          <w:b/>
          <w:bCs/>
          <w:lang w:val="en-US"/>
        </w:rPr>
        <w:t>5</w:t>
      </w:r>
      <w:r w:rsidRPr="00716B7B">
        <w:rPr>
          <w:b/>
          <w:bCs/>
        </w:rPr>
        <w:t xml:space="preserve">. </w:t>
      </w:r>
      <w:r w:rsidRPr="00716B7B">
        <w:rPr>
          <w:i/>
          <w:iCs/>
          <w:lang w:val="en-US"/>
        </w:rPr>
        <w:t>Long Term Debt to Total Capital</w:t>
      </w:r>
    </w:p>
    <w:p w:rsidR="00716B7B" w:rsidRPr="00716B7B" w:rsidRDefault="00716B7B" w:rsidP="00716B7B">
      <w:pPr>
        <w:ind w:left="180"/>
        <w:jc w:val="both"/>
      </w:pPr>
    </w:p>
    <w:p w:rsidR="00716B7B" w:rsidRPr="00716B7B" w:rsidRDefault="00716B7B" w:rsidP="00716B7B">
      <w:pPr>
        <w:ind w:left="180"/>
        <w:jc w:val="both"/>
      </w:pPr>
      <w:r w:rsidRPr="00716B7B">
        <w:rPr>
          <w:lang w:val="nb-NO"/>
        </w:rPr>
        <w:t>Perbandingan hutang jangka Panjang PT.Smartfren terhadap total modal (hutang dan modal sendiri) selama periode lima tahun, mengalami peningkatan dari 26.4% di 2018; 31.8% di 2019; 46.3% di 2020; 48.7% di 2021. Namun selanjutnya mengalami penurunan nilai rasio di tahun 2022, yaitu sebesar 47.5%.</w:t>
      </w:r>
    </w:p>
    <w:p w:rsidR="00716B7B" w:rsidRPr="00716B7B" w:rsidRDefault="00716B7B" w:rsidP="00716B7B">
      <w:pPr>
        <w:ind w:left="180"/>
        <w:jc w:val="both"/>
      </w:pPr>
    </w:p>
    <w:p w:rsidR="00716B7B" w:rsidRPr="00716B7B" w:rsidRDefault="00716B7B" w:rsidP="00716B7B">
      <w:pPr>
        <w:ind w:left="180"/>
        <w:jc w:val="both"/>
      </w:pPr>
      <w:r w:rsidRPr="00716B7B">
        <w:rPr>
          <w:b/>
          <w:lang w:val="en-US"/>
        </w:rPr>
        <w:lastRenderedPageBreak/>
        <w:t>3</w:t>
      </w:r>
      <w:r w:rsidRPr="00716B7B">
        <w:rPr>
          <w:b/>
        </w:rPr>
        <w:t>.</w:t>
      </w:r>
      <w:r w:rsidRPr="00716B7B">
        <w:rPr>
          <w:b/>
          <w:lang w:val="en-US"/>
        </w:rPr>
        <w:t>3</w:t>
      </w:r>
      <w:r w:rsidRPr="00716B7B">
        <w:rPr>
          <w:b/>
        </w:rPr>
        <w:t xml:space="preserve">. </w:t>
      </w:r>
      <w:r w:rsidRPr="00716B7B">
        <w:rPr>
          <w:b/>
          <w:lang w:val="en-US"/>
        </w:rPr>
        <w:t xml:space="preserve">Rasio </w:t>
      </w:r>
      <w:r w:rsidRPr="00716B7B">
        <w:rPr>
          <w:b/>
          <w:i/>
          <w:iCs/>
          <w:lang w:val="en-US"/>
        </w:rPr>
        <w:t>Profitabilitas</w:t>
      </w:r>
    </w:p>
    <w:p w:rsidR="00716B7B" w:rsidRPr="00716B7B" w:rsidRDefault="00716B7B" w:rsidP="00716B7B">
      <w:pPr>
        <w:ind w:left="180"/>
        <w:jc w:val="both"/>
      </w:pPr>
      <w:r w:rsidRPr="00716B7B">
        <w:t xml:space="preserve"> </w:t>
      </w:r>
    </w:p>
    <w:p w:rsidR="00716B7B" w:rsidRPr="00716B7B" w:rsidRDefault="00716B7B" w:rsidP="00716B7B">
      <w:pPr>
        <w:ind w:left="180"/>
        <w:jc w:val="center"/>
      </w:pPr>
      <w:r w:rsidRPr="00716B7B">
        <w:rPr>
          <w:lang w:val="en-US"/>
        </w:rPr>
        <w:drawing>
          <wp:inline distT="0" distB="0" distL="0" distR="0" wp14:anchorId="719425C5" wp14:editId="5B79F8A4">
            <wp:extent cx="3776353" cy="2374900"/>
            <wp:effectExtent l="0" t="0" r="14605" b="6350"/>
            <wp:docPr id="199938185" name="Chart 1">
              <a:extLst xmlns:a="http://schemas.openxmlformats.org/drawingml/2006/main">
                <a:ext uri="{FF2B5EF4-FFF2-40B4-BE49-F238E27FC236}">
                  <a16:creationId xmlns:a16="http://schemas.microsoft.com/office/drawing/2014/main" id="{879E5C7F-3943-4826-81F0-61FB3FC307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B7B" w:rsidRPr="00716B7B" w:rsidRDefault="00716B7B" w:rsidP="00716B7B">
      <w:pPr>
        <w:ind w:left="180"/>
        <w:jc w:val="center"/>
      </w:pPr>
      <w:r w:rsidRPr="00716B7B">
        <w:rPr>
          <w:b/>
          <w:bCs/>
        </w:rPr>
        <w:t xml:space="preserve">Gambar </w:t>
      </w:r>
      <w:r w:rsidRPr="00716B7B">
        <w:rPr>
          <w:b/>
          <w:bCs/>
          <w:lang w:val="nb-NO"/>
        </w:rPr>
        <w:t>6</w:t>
      </w:r>
      <w:r w:rsidRPr="00716B7B">
        <w:rPr>
          <w:b/>
          <w:bCs/>
        </w:rPr>
        <w:t xml:space="preserve">. </w:t>
      </w:r>
      <w:r w:rsidRPr="00716B7B">
        <w:rPr>
          <w:i/>
          <w:iCs/>
          <w:lang w:val="nb-NO"/>
        </w:rPr>
        <w:t>EBITDA Margin</w:t>
      </w:r>
    </w:p>
    <w:p w:rsidR="00716B7B" w:rsidRPr="00716B7B" w:rsidRDefault="00716B7B" w:rsidP="00716B7B">
      <w:pPr>
        <w:ind w:left="180"/>
        <w:jc w:val="both"/>
      </w:pPr>
    </w:p>
    <w:p w:rsidR="00716B7B" w:rsidRPr="00716B7B" w:rsidRDefault="00716B7B" w:rsidP="00716B7B">
      <w:pPr>
        <w:ind w:left="180"/>
        <w:jc w:val="both"/>
      </w:pPr>
      <w:r w:rsidRPr="00716B7B">
        <w:rPr>
          <w:lang w:val="nb-NO"/>
        </w:rPr>
        <w:t>Selama periode tahun 2018 – 2022 nilai EBITDA margin PT.Smartfren terus mengalami peningkatan. Yaitu berkisar dari 17.8% di tahun 2018; 19.8% di tahun 2019; 32.4% di tahun 2020; 39.2% di tahun 2021; dan 44.9% di tahun 2022. Nilai EBITDA margin adalah perbandingan antara nilai perhitungan arus kas kasar dengan mengabaikan penyusutan terhadap nilai pendapatan usaha.</w:t>
      </w:r>
    </w:p>
    <w:p w:rsidR="00716B7B" w:rsidRPr="00716B7B" w:rsidRDefault="00716B7B" w:rsidP="00716B7B">
      <w:pPr>
        <w:ind w:left="180"/>
        <w:jc w:val="both"/>
      </w:pPr>
      <w:r w:rsidRPr="00716B7B">
        <w:t xml:space="preserve"> </w:t>
      </w:r>
    </w:p>
    <w:p w:rsidR="00716B7B" w:rsidRPr="00716B7B" w:rsidRDefault="00716B7B" w:rsidP="00716B7B">
      <w:pPr>
        <w:ind w:left="180"/>
        <w:jc w:val="both"/>
        <w:rPr>
          <w:b/>
        </w:rPr>
      </w:pPr>
    </w:p>
    <w:p w:rsidR="00716B7B" w:rsidRPr="00716B7B" w:rsidRDefault="00716B7B" w:rsidP="00716B7B">
      <w:pPr>
        <w:ind w:left="180"/>
        <w:jc w:val="both"/>
        <w:rPr>
          <w:lang w:val="nb-NO"/>
        </w:rPr>
      </w:pPr>
    </w:p>
    <w:p w:rsidR="00716B7B" w:rsidRPr="00716B7B" w:rsidRDefault="00716B7B" w:rsidP="00716B7B">
      <w:pPr>
        <w:ind w:left="180"/>
        <w:jc w:val="center"/>
      </w:pPr>
      <w:r w:rsidRPr="00716B7B">
        <w:rPr>
          <w:lang w:val="en-US"/>
        </w:rPr>
        <w:drawing>
          <wp:inline distT="0" distB="0" distL="0" distR="0" wp14:anchorId="71449201" wp14:editId="6EA215D0">
            <wp:extent cx="4060825" cy="2660073"/>
            <wp:effectExtent l="0" t="0" r="15875" b="6985"/>
            <wp:docPr id="648622805" name="Chart 1">
              <a:extLst xmlns:a="http://schemas.openxmlformats.org/drawingml/2006/main">
                <a:ext uri="{FF2B5EF4-FFF2-40B4-BE49-F238E27FC236}">
                  <a16:creationId xmlns:a16="http://schemas.microsoft.com/office/drawing/2014/main" id="{BE6285AD-B41B-4CC1-B4E7-718AAE1F6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6B7B" w:rsidRPr="00716B7B" w:rsidRDefault="00716B7B" w:rsidP="00716B7B">
      <w:pPr>
        <w:ind w:left="180"/>
        <w:jc w:val="center"/>
      </w:pPr>
      <w:r w:rsidRPr="00716B7B">
        <w:rPr>
          <w:b/>
          <w:bCs/>
        </w:rPr>
        <w:t xml:space="preserve">Gambar </w:t>
      </w:r>
      <w:r w:rsidRPr="00716B7B">
        <w:rPr>
          <w:b/>
          <w:bCs/>
          <w:lang w:val="nb-NO"/>
        </w:rPr>
        <w:t>7</w:t>
      </w:r>
      <w:r w:rsidRPr="00716B7B">
        <w:rPr>
          <w:b/>
          <w:bCs/>
        </w:rPr>
        <w:t xml:space="preserve">. </w:t>
      </w:r>
      <w:r w:rsidRPr="00716B7B">
        <w:rPr>
          <w:i/>
          <w:iCs/>
          <w:lang w:val="nb-NO"/>
        </w:rPr>
        <w:t>EBIT Margin</w:t>
      </w:r>
    </w:p>
    <w:p w:rsidR="00716B7B" w:rsidRPr="00716B7B" w:rsidRDefault="00716B7B" w:rsidP="00716B7B">
      <w:pPr>
        <w:ind w:left="180"/>
        <w:jc w:val="both"/>
      </w:pPr>
    </w:p>
    <w:p w:rsidR="00716B7B" w:rsidRPr="00716B7B" w:rsidRDefault="00716B7B" w:rsidP="00716B7B">
      <w:pPr>
        <w:ind w:left="180"/>
        <w:jc w:val="both"/>
      </w:pPr>
      <w:r w:rsidRPr="00716B7B">
        <w:rPr>
          <w:lang w:val="nb-NO"/>
        </w:rPr>
        <w:t xml:space="preserve">EBIT margin dihitung dengan mengabaikan pengaruh struktur modal dan pajak, tetapi termasuk laba dari afiliasi. Sehingga pengertiannya lebih luas dari laba usaha biasa. Dari data laporan tahunan EBIT margin PT.Smartfren sempat mengalami minus selama periode tahun 2018 hingga 2020. </w:t>
      </w:r>
      <w:r w:rsidRPr="00716B7B">
        <w:rPr>
          <w:lang w:val="en-US"/>
        </w:rPr>
        <w:t>Mulai tahun 2021 nilai EBIT margin sudah bisa positif.</w:t>
      </w:r>
    </w:p>
    <w:p w:rsidR="00716B7B" w:rsidRPr="00716B7B" w:rsidRDefault="00716B7B" w:rsidP="00716B7B">
      <w:pPr>
        <w:ind w:left="180"/>
        <w:jc w:val="both"/>
      </w:pPr>
      <w:r w:rsidRPr="00716B7B">
        <w:t xml:space="preserve"> </w:t>
      </w:r>
    </w:p>
    <w:p w:rsidR="00716B7B" w:rsidRPr="00716B7B" w:rsidRDefault="00716B7B" w:rsidP="00716B7B">
      <w:pPr>
        <w:ind w:left="180"/>
        <w:jc w:val="both"/>
        <w:rPr>
          <w:b/>
        </w:rPr>
      </w:pPr>
    </w:p>
    <w:p w:rsidR="00716B7B" w:rsidRPr="00716B7B" w:rsidRDefault="00716B7B" w:rsidP="00716B7B">
      <w:pPr>
        <w:ind w:left="180"/>
        <w:jc w:val="both"/>
        <w:rPr>
          <w:lang w:val="nb-NO"/>
        </w:rPr>
      </w:pPr>
    </w:p>
    <w:p w:rsidR="00716B7B" w:rsidRPr="00716B7B" w:rsidRDefault="00716B7B" w:rsidP="00716B7B">
      <w:pPr>
        <w:ind w:left="180"/>
        <w:jc w:val="center"/>
      </w:pPr>
      <w:r w:rsidRPr="00716B7B">
        <w:rPr>
          <w:lang w:val="en-US"/>
        </w:rPr>
        <w:drawing>
          <wp:inline distT="0" distB="0" distL="0" distR="0" wp14:anchorId="5B2BCAAA" wp14:editId="3A0AD092">
            <wp:extent cx="4120515" cy="2493818"/>
            <wp:effectExtent l="0" t="0" r="13335" b="1905"/>
            <wp:docPr id="347601466" name="Chart 1">
              <a:extLst xmlns:a="http://schemas.openxmlformats.org/drawingml/2006/main">
                <a:ext uri="{FF2B5EF4-FFF2-40B4-BE49-F238E27FC236}">
                  <a16:creationId xmlns:a16="http://schemas.microsoft.com/office/drawing/2014/main" id="{C8ED8A0D-3B7F-4A68-A6DF-345232BEE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16B7B" w:rsidRPr="00716B7B" w:rsidRDefault="00716B7B" w:rsidP="00716B7B">
      <w:pPr>
        <w:ind w:left="180"/>
        <w:jc w:val="center"/>
      </w:pPr>
      <w:r w:rsidRPr="00716B7B">
        <w:rPr>
          <w:b/>
          <w:bCs/>
        </w:rPr>
        <w:t xml:space="preserve">Gambar </w:t>
      </w:r>
      <w:r w:rsidRPr="00716B7B">
        <w:rPr>
          <w:b/>
          <w:bCs/>
          <w:lang w:val="en-US"/>
        </w:rPr>
        <w:t>8</w:t>
      </w:r>
      <w:r w:rsidRPr="00716B7B">
        <w:rPr>
          <w:b/>
          <w:bCs/>
        </w:rPr>
        <w:t xml:space="preserve">. </w:t>
      </w:r>
      <w:r w:rsidRPr="00716B7B">
        <w:rPr>
          <w:i/>
          <w:iCs/>
        </w:rPr>
        <w:t>Net Profit Margin</w:t>
      </w:r>
    </w:p>
    <w:p w:rsidR="00716B7B" w:rsidRPr="00716B7B" w:rsidRDefault="00716B7B" w:rsidP="00716B7B">
      <w:pPr>
        <w:ind w:left="180"/>
        <w:jc w:val="both"/>
      </w:pPr>
    </w:p>
    <w:p w:rsidR="00716B7B" w:rsidRPr="00716B7B" w:rsidRDefault="00716B7B" w:rsidP="00716B7B">
      <w:pPr>
        <w:ind w:left="180"/>
        <w:jc w:val="both"/>
      </w:pPr>
      <w:r w:rsidRPr="00716B7B">
        <w:t>Net Profit margin atau laba bersih bisa diasumsikan sebagai kemampuan perusahaan untuk memberikan return kepada pemegang saham. Terlihat bahwa selama periode tahun 2018 hingga 2021 PT.Smartfren bisa dikatakan tidak memiliki kemampuan bayar yang cukup untuk memberikan return kepada pemegang saham. Baru pada tahun 2022 hal tersebut dapat dilakukan, dengan telah berhasil dicapainya Net profir margin sebesar 9.5%. Meski angka ini masih di bawah angka rata-rata standard industry yang sebesar 20%.</w:t>
      </w:r>
    </w:p>
    <w:p w:rsidR="00716B7B" w:rsidRPr="00716B7B" w:rsidRDefault="00716B7B" w:rsidP="00716B7B">
      <w:pPr>
        <w:ind w:left="180"/>
        <w:jc w:val="both"/>
      </w:pPr>
      <w:r w:rsidRPr="00716B7B">
        <w:t xml:space="preserve"> </w:t>
      </w:r>
    </w:p>
    <w:p w:rsidR="00716B7B" w:rsidRPr="00716B7B" w:rsidRDefault="00716B7B" w:rsidP="00716B7B">
      <w:pPr>
        <w:ind w:left="180"/>
        <w:jc w:val="center"/>
      </w:pPr>
      <w:r w:rsidRPr="00716B7B">
        <w:rPr>
          <w:lang w:val="en-US"/>
        </w:rPr>
        <w:drawing>
          <wp:inline distT="0" distB="0" distL="0" distR="0" wp14:anchorId="4BF051B2" wp14:editId="5D7AFFA4">
            <wp:extent cx="4263242" cy="2623820"/>
            <wp:effectExtent l="0" t="0" r="4445" b="5080"/>
            <wp:docPr id="1877698310" name="Chart 1">
              <a:extLst xmlns:a="http://schemas.openxmlformats.org/drawingml/2006/main">
                <a:ext uri="{FF2B5EF4-FFF2-40B4-BE49-F238E27FC236}">
                  <a16:creationId xmlns:a16="http://schemas.microsoft.com/office/drawing/2014/main" id="{CA909044-11DC-491C-BE14-2B97DD29F7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6B7B" w:rsidRPr="00716B7B" w:rsidRDefault="00716B7B" w:rsidP="00716B7B">
      <w:pPr>
        <w:ind w:left="180"/>
        <w:jc w:val="center"/>
      </w:pPr>
      <w:r w:rsidRPr="00716B7B">
        <w:rPr>
          <w:b/>
          <w:bCs/>
        </w:rPr>
        <w:t xml:space="preserve">Gambar </w:t>
      </w:r>
      <w:r w:rsidRPr="00716B7B">
        <w:rPr>
          <w:b/>
          <w:bCs/>
          <w:lang w:val="en-US"/>
        </w:rPr>
        <w:t>9</w:t>
      </w:r>
      <w:r w:rsidRPr="00716B7B">
        <w:rPr>
          <w:b/>
          <w:bCs/>
        </w:rPr>
        <w:t xml:space="preserve">. </w:t>
      </w:r>
      <w:r w:rsidRPr="00716B7B">
        <w:rPr>
          <w:i/>
          <w:iCs/>
        </w:rPr>
        <w:t>Return on Asset</w:t>
      </w:r>
    </w:p>
    <w:p w:rsidR="00716B7B" w:rsidRPr="00716B7B" w:rsidRDefault="00716B7B" w:rsidP="00716B7B">
      <w:pPr>
        <w:ind w:left="180"/>
        <w:jc w:val="both"/>
      </w:pPr>
    </w:p>
    <w:p w:rsidR="00716B7B" w:rsidRPr="00716B7B" w:rsidRDefault="00716B7B" w:rsidP="00716B7B">
      <w:pPr>
        <w:ind w:left="180"/>
        <w:jc w:val="both"/>
      </w:pPr>
      <w:r w:rsidRPr="00716B7B">
        <w:t xml:space="preserve">Karena laba bersih PT.Smartfren baru muncul di tahun 2022 maka nilai ROA juga baru mulai positif di tahun 2022 yaitu di angka 2.3%. </w:t>
      </w:r>
      <w:r w:rsidRPr="00716B7B">
        <w:rPr>
          <w:lang w:val="nb-NO"/>
        </w:rPr>
        <w:t>Dalam rentang waktu 2018 – 2022 nilai ROA PT.Smartfren terus meningkat seiring dengan peningkatan nilai laba bersih.</w:t>
      </w:r>
    </w:p>
    <w:p w:rsidR="00716B7B" w:rsidRPr="00716B7B" w:rsidRDefault="00716B7B" w:rsidP="00716B7B">
      <w:pPr>
        <w:ind w:left="180"/>
        <w:jc w:val="both"/>
      </w:pPr>
      <w:r w:rsidRPr="00716B7B">
        <w:t xml:space="preserve"> </w:t>
      </w:r>
    </w:p>
    <w:p w:rsidR="00716B7B" w:rsidRPr="00716B7B" w:rsidRDefault="00716B7B" w:rsidP="00716B7B">
      <w:pPr>
        <w:ind w:left="180"/>
        <w:jc w:val="both"/>
        <w:rPr>
          <w:b/>
        </w:rPr>
      </w:pPr>
    </w:p>
    <w:p w:rsidR="00716B7B" w:rsidRPr="00716B7B" w:rsidRDefault="00716B7B" w:rsidP="00716B7B">
      <w:pPr>
        <w:ind w:left="180"/>
        <w:jc w:val="both"/>
        <w:rPr>
          <w:b/>
        </w:rPr>
      </w:pPr>
    </w:p>
    <w:p w:rsidR="00716B7B" w:rsidRPr="00716B7B" w:rsidRDefault="00716B7B" w:rsidP="00716B7B">
      <w:pPr>
        <w:ind w:left="180"/>
        <w:jc w:val="center"/>
      </w:pPr>
      <w:r w:rsidRPr="00716B7B">
        <w:rPr>
          <w:lang w:val="en-US"/>
        </w:rPr>
        <w:lastRenderedPageBreak/>
        <w:drawing>
          <wp:inline distT="0" distB="0" distL="0" distR="0" wp14:anchorId="52AE1895" wp14:editId="7BF1FC71">
            <wp:extent cx="4174490" cy="2778826"/>
            <wp:effectExtent l="0" t="0" r="16510" b="2540"/>
            <wp:docPr id="629162240" name="Chart 1">
              <a:extLst xmlns:a="http://schemas.openxmlformats.org/drawingml/2006/main">
                <a:ext uri="{FF2B5EF4-FFF2-40B4-BE49-F238E27FC236}">
                  <a16:creationId xmlns:a16="http://schemas.microsoft.com/office/drawing/2014/main" id="{022198EC-A420-4D41-94BF-D46A068F0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6B7B" w:rsidRPr="00716B7B" w:rsidRDefault="00716B7B" w:rsidP="00716B7B">
      <w:pPr>
        <w:ind w:left="180"/>
        <w:jc w:val="center"/>
      </w:pPr>
      <w:r w:rsidRPr="00716B7B">
        <w:rPr>
          <w:b/>
          <w:bCs/>
        </w:rPr>
        <w:t xml:space="preserve">Gambar </w:t>
      </w:r>
      <w:r w:rsidRPr="00716B7B">
        <w:rPr>
          <w:b/>
          <w:bCs/>
          <w:lang w:val="en-US"/>
        </w:rPr>
        <w:t>10</w:t>
      </w:r>
      <w:r w:rsidRPr="00716B7B">
        <w:rPr>
          <w:b/>
          <w:bCs/>
        </w:rPr>
        <w:t xml:space="preserve">. </w:t>
      </w:r>
      <w:r w:rsidRPr="00716B7B">
        <w:rPr>
          <w:i/>
          <w:iCs/>
        </w:rPr>
        <w:t>Return on Equity</w:t>
      </w:r>
    </w:p>
    <w:p w:rsidR="00716B7B" w:rsidRPr="00716B7B" w:rsidRDefault="00716B7B" w:rsidP="00716B7B">
      <w:pPr>
        <w:ind w:left="180"/>
        <w:jc w:val="both"/>
      </w:pPr>
    </w:p>
    <w:p w:rsidR="00254C69" w:rsidRDefault="00716B7B" w:rsidP="00716B7B">
      <w:pPr>
        <w:ind w:left="180"/>
        <w:jc w:val="both"/>
      </w:pPr>
      <w:r w:rsidRPr="00716B7B">
        <w:t>Relevan dengan menurunnya leverage PT.Smartfren di tahun 2022, hal ini berimbas pada nilai ROE yang berhasil mencapai nilai positif sebesar 6.8%. Meski terus menunjukkan pertumbuhan return, selama rentang waktu tahun 2018 – 2022 ROE PT.Smartfren selalu berada di nilai minus sehubungan laba bersih perusahaan yang juga menunjukkan trend yang sama.</w:t>
      </w:r>
      <w:r w:rsidR="005F6436">
        <w:t>.</w:t>
      </w:r>
    </w:p>
    <w:p w:rsidR="00716B7B" w:rsidRDefault="00716B7B">
      <w:pPr>
        <w:ind w:left="180"/>
        <w:jc w:val="both"/>
      </w:pPr>
    </w:p>
    <w:p w:rsidR="00254C69" w:rsidRDefault="005F6436">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rsidR="00716B7B" w:rsidRPr="00716B7B" w:rsidRDefault="00716B7B" w:rsidP="00716B7B">
      <w:pPr>
        <w:pBdr>
          <w:top w:val="nil"/>
          <w:left w:val="nil"/>
          <w:bottom w:val="nil"/>
          <w:right w:val="nil"/>
          <w:between w:val="nil"/>
        </w:pBdr>
        <w:ind w:left="180"/>
        <w:jc w:val="both"/>
        <w:rPr>
          <w:color w:val="000000"/>
          <w:lang w:val="nb-NO"/>
        </w:rPr>
      </w:pPr>
      <w:r w:rsidRPr="00716B7B">
        <w:rPr>
          <w:color w:val="000000"/>
        </w:rPr>
        <w:t xml:space="preserve">Berdasarkan analisa rasio keuangan yang dilakukan selama periode tahun 2018 – 2022 terhadap </w:t>
      </w:r>
      <w:r w:rsidRPr="00716B7B">
        <w:rPr>
          <w:bCs/>
          <w:color w:val="000000"/>
          <w:lang w:val="nb-NO"/>
        </w:rPr>
        <w:t>PT. Smartfren Telecom Tbk</w:t>
      </w:r>
      <w:r w:rsidRPr="00716B7B">
        <w:rPr>
          <w:color w:val="000000"/>
        </w:rPr>
        <w:t xml:space="preserve"> dapat disimpulkan bahwa selama periode lima tahun pengamatan perusahaan dalam kondisi keuangan yang kurang baik. Rata-rata </w:t>
      </w:r>
      <w:r w:rsidRPr="00716B7B">
        <w:rPr>
          <w:i/>
          <w:iCs/>
          <w:color w:val="000000"/>
        </w:rPr>
        <w:t>Current Ratio</w:t>
      </w:r>
      <w:r w:rsidRPr="00716B7B">
        <w:rPr>
          <w:color w:val="000000"/>
        </w:rPr>
        <w:t xml:space="preserve"> tahun 2018-2022 sebesar 29% atau 0.29  dan tidak mencapai standar industri untuk perusahaan sehat yaitu sebesar 1 – 5. </w:t>
      </w:r>
      <w:r w:rsidRPr="00716B7B">
        <w:rPr>
          <w:i/>
          <w:iCs/>
          <w:color w:val="000000"/>
          <w:lang w:val="nb-NO"/>
        </w:rPr>
        <w:t>Debt to Equity Ratio</w:t>
      </w:r>
      <w:r w:rsidRPr="00716B7B">
        <w:rPr>
          <w:color w:val="000000"/>
        </w:rPr>
        <w:t xml:space="preserve"> </w:t>
      </w:r>
      <w:r w:rsidRPr="00716B7B">
        <w:rPr>
          <w:color w:val="000000"/>
          <w:lang w:val="nb-NO"/>
        </w:rPr>
        <w:t>meningkat</w:t>
      </w:r>
      <w:r w:rsidRPr="00716B7B">
        <w:rPr>
          <w:color w:val="000000"/>
        </w:rPr>
        <w:t xml:space="preserve"> dari 103% di tahun 2018 hingga 243% di tahun 2021, dan menurun di tahun 2022 sebesar 195%. </w:t>
      </w:r>
      <w:r w:rsidRPr="00716B7B">
        <w:rPr>
          <w:color w:val="000000"/>
          <w:lang w:val="nb-NO"/>
        </w:rPr>
        <w:t>M</w:t>
      </w:r>
      <w:r w:rsidRPr="00716B7B">
        <w:rPr>
          <w:color w:val="000000"/>
        </w:rPr>
        <w:t>enunjukkan bahwa perbandingan terhadap ekuitas lebih dari 100%, di atas standard rata-rata industr</w:t>
      </w:r>
      <w:r w:rsidRPr="00716B7B">
        <w:rPr>
          <w:color w:val="000000"/>
          <w:lang w:val="nb-NO"/>
        </w:rPr>
        <w:t>i</w:t>
      </w:r>
      <w:r w:rsidRPr="00716B7B">
        <w:rPr>
          <w:color w:val="000000"/>
        </w:rPr>
        <w:t xml:space="preserve"> sebesar 90%. </w:t>
      </w:r>
      <w:bookmarkStart w:id="2" w:name="_Hlk152680625"/>
      <w:r w:rsidRPr="00716B7B">
        <w:rPr>
          <w:i/>
          <w:iCs/>
          <w:color w:val="000000"/>
          <w:lang w:val="nb-NO"/>
        </w:rPr>
        <w:t>Debt to Assets Ratio</w:t>
      </w:r>
      <w:bookmarkEnd w:id="2"/>
      <w:r w:rsidRPr="00716B7B">
        <w:rPr>
          <w:color w:val="000000"/>
        </w:rPr>
        <w:t xml:space="preserve"> </w:t>
      </w:r>
      <w:r w:rsidRPr="00716B7B">
        <w:rPr>
          <w:color w:val="000000"/>
          <w:lang w:val="nb-NO"/>
        </w:rPr>
        <w:t xml:space="preserve">meningkat </w:t>
      </w:r>
      <w:r w:rsidRPr="00716B7B">
        <w:rPr>
          <w:color w:val="000000"/>
        </w:rPr>
        <w:t>dari 50.6% di tahun 2018</w:t>
      </w:r>
      <w:r w:rsidRPr="00716B7B">
        <w:rPr>
          <w:color w:val="000000"/>
          <w:lang w:val="nb-NO"/>
        </w:rPr>
        <w:t xml:space="preserve"> dan</w:t>
      </w:r>
      <w:r w:rsidRPr="00716B7B">
        <w:rPr>
          <w:color w:val="000000"/>
        </w:rPr>
        <w:t xml:space="preserve"> </w:t>
      </w:r>
      <w:r w:rsidRPr="00716B7B">
        <w:rPr>
          <w:color w:val="000000"/>
          <w:lang w:val="nb-NO"/>
        </w:rPr>
        <w:t xml:space="preserve">tertinggi </w:t>
      </w:r>
      <w:r w:rsidRPr="00716B7B">
        <w:rPr>
          <w:color w:val="000000"/>
        </w:rPr>
        <w:t>70.8% di tahun 2021</w:t>
      </w:r>
      <w:r w:rsidRPr="00716B7B">
        <w:rPr>
          <w:color w:val="000000"/>
          <w:lang w:val="nb-NO"/>
        </w:rPr>
        <w:t>, turun</w:t>
      </w:r>
      <w:r w:rsidRPr="00716B7B">
        <w:rPr>
          <w:color w:val="000000"/>
        </w:rPr>
        <w:t xml:space="preserve"> 66.1% di tahun 2022. </w:t>
      </w:r>
      <w:r w:rsidRPr="00716B7B">
        <w:rPr>
          <w:color w:val="000000"/>
          <w:lang w:val="nb-NO"/>
        </w:rPr>
        <w:t>S</w:t>
      </w:r>
      <w:r w:rsidRPr="00716B7B">
        <w:rPr>
          <w:color w:val="000000"/>
        </w:rPr>
        <w:t>elama periode tahun 2018 – 2022 secara keseluruhan masih di atas standard rat-rata industr</w:t>
      </w:r>
      <w:r w:rsidRPr="00716B7B">
        <w:rPr>
          <w:color w:val="000000"/>
          <w:lang w:val="nb-NO"/>
        </w:rPr>
        <w:t>i</w:t>
      </w:r>
      <w:r w:rsidRPr="00716B7B">
        <w:rPr>
          <w:color w:val="000000"/>
        </w:rPr>
        <w:t xml:space="preserve"> sebesar 35%. </w:t>
      </w:r>
      <w:bookmarkStart w:id="3" w:name="_Hlk152681461"/>
      <w:r w:rsidRPr="00716B7B">
        <w:rPr>
          <w:i/>
          <w:iCs/>
          <w:color w:val="000000"/>
        </w:rPr>
        <w:t>Net Profit margin</w:t>
      </w:r>
      <w:r w:rsidRPr="00716B7B">
        <w:rPr>
          <w:color w:val="000000"/>
        </w:rPr>
        <w:t xml:space="preserve"> periode tahun 2018 hingga 2021 dalam posisi negative, tahun 2022 berhasil sebesar 9.5%</w:t>
      </w:r>
      <w:r w:rsidRPr="00716B7B">
        <w:rPr>
          <w:color w:val="000000"/>
          <w:lang w:val="nb-NO"/>
        </w:rPr>
        <w:t xml:space="preserve"> dan masih di bawah angka rata-rata standard industri sebesar 20%.</w:t>
      </w:r>
      <w:bookmarkEnd w:id="3"/>
    </w:p>
    <w:p w:rsidR="00254C69" w:rsidRDefault="00716B7B" w:rsidP="00716B7B">
      <w:pPr>
        <w:pBdr>
          <w:top w:val="nil"/>
          <w:left w:val="nil"/>
          <w:bottom w:val="nil"/>
          <w:right w:val="nil"/>
          <w:between w:val="nil"/>
        </w:pBdr>
        <w:ind w:left="180"/>
        <w:jc w:val="both"/>
        <w:rPr>
          <w:color w:val="000000"/>
        </w:rPr>
      </w:pPr>
      <w:r w:rsidRPr="00716B7B">
        <w:rPr>
          <w:color w:val="000000"/>
          <w:lang w:val="nb-NO"/>
        </w:rPr>
        <w:t>Oleh karena itu d</w:t>
      </w:r>
      <w:r w:rsidRPr="00716B7B">
        <w:rPr>
          <w:color w:val="000000"/>
        </w:rPr>
        <w:t>iperlukan adanya keputusan-keputusan strategis yang diambil khususnya yang akan berimplikasi pada performa keuangan perusahaan. Beberapa keputusan aktivitas keuangan yang perlu dilakukan di antaranya adalah: (1)Meningkatkan pendapatan usaha dan menekan biaya operasional untuk menjaga perolehan laba agar terus meningkat dan positif; (2)Menjaga rasio leverage pada kadar yang tepat agar tidak terbebani dengan biaya bunga yang besar; (3)Menerbitkan obligasi jangka panjang untuk melunasi hutang jangka pendek.</w:t>
      </w:r>
      <w:r w:rsidR="005F6436">
        <w:rPr>
          <w:color w:val="000000"/>
        </w:rPr>
        <w:t xml:space="preserve"> </w:t>
      </w:r>
    </w:p>
    <w:p w:rsidR="00254C69" w:rsidRDefault="00254C69">
      <w:pPr>
        <w:pBdr>
          <w:top w:val="nil"/>
          <w:left w:val="nil"/>
          <w:bottom w:val="nil"/>
          <w:right w:val="nil"/>
          <w:between w:val="nil"/>
        </w:pBdr>
        <w:ind w:left="180"/>
        <w:jc w:val="both"/>
        <w:rPr>
          <w:color w:val="000000"/>
        </w:rPr>
      </w:pPr>
    </w:p>
    <w:p w:rsidR="00254C69" w:rsidRDefault="005F6436">
      <w:pPr>
        <w:ind w:left="180"/>
        <w:jc w:val="both"/>
        <w:rPr>
          <w:b/>
        </w:rPr>
      </w:pPr>
      <w:r>
        <w:rPr>
          <w:b/>
        </w:rPr>
        <w:t>DAFTAR PUSTAKA</w:t>
      </w:r>
    </w:p>
    <w:p w:rsidR="00716B7B" w:rsidRPr="00716B7B" w:rsidRDefault="00716B7B" w:rsidP="00716B7B">
      <w:pPr>
        <w:ind w:left="630" w:hanging="450"/>
        <w:jc w:val="both"/>
        <w:rPr>
          <w:color w:val="000000"/>
          <w:sz w:val="22"/>
          <w:szCs w:val="22"/>
        </w:rPr>
      </w:pPr>
      <w:r w:rsidRPr="00716B7B">
        <w:rPr>
          <w:color w:val="000000"/>
          <w:sz w:val="22"/>
          <w:szCs w:val="22"/>
        </w:rPr>
        <w:t>Amrullah, L. M., &amp; Widyawati, D. (2021). Pengaruh Kinerja Keuangan Dan Tingkat Inflasi Terhadap Pertumbuhan Laba Pada Perusahaan. Jurnal Ilmu dan Riset Akuntansi, 10(6).</w:t>
      </w:r>
    </w:p>
    <w:p w:rsidR="00716B7B" w:rsidRPr="00716B7B" w:rsidRDefault="00716B7B" w:rsidP="00716B7B">
      <w:pPr>
        <w:ind w:left="630" w:hanging="450"/>
        <w:jc w:val="both"/>
        <w:rPr>
          <w:color w:val="000000"/>
          <w:sz w:val="22"/>
          <w:szCs w:val="22"/>
        </w:rPr>
      </w:pPr>
    </w:p>
    <w:p w:rsidR="00716B7B" w:rsidRPr="00716B7B" w:rsidRDefault="00716B7B" w:rsidP="00716B7B">
      <w:pPr>
        <w:ind w:left="630" w:hanging="450"/>
        <w:jc w:val="both"/>
        <w:rPr>
          <w:color w:val="000000"/>
          <w:sz w:val="22"/>
          <w:szCs w:val="22"/>
        </w:rPr>
      </w:pPr>
      <w:r w:rsidRPr="00716B7B">
        <w:rPr>
          <w:color w:val="000000"/>
          <w:sz w:val="22"/>
          <w:szCs w:val="22"/>
        </w:rPr>
        <w:lastRenderedPageBreak/>
        <w:t>Arsita, Yessy. 2021. Analisis Rasio Keuangan Untuk Mengukur Kinerja Keuangan Pt Sentul City, Tbk. Volume 2,Issue 1, Januari</w:t>
      </w:r>
    </w:p>
    <w:p w:rsidR="00716B7B" w:rsidRPr="00716B7B" w:rsidRDefault="00716B7B" w:rsidP="00716B7B">
      <w:pPr>
        <w:ind w:left="630" w:hanging="450"/>
        <w:jc w:val="both"/>
        <w:rPr>
          <w:color w:val="000000"/>
          <w:sz w:val="22"/>
          <w:szCs w:val="22"/>
          <w:lang w:val="en-US"/>
        </w:rPr>
      </w:pPr>
      <w:r w:rsidRPr="00716B7B">
        <w:rPr>
          <w:color w:val="000000"/>
          <w:sz w:val="22"/>
          <w:szCs w:val="22"/>
          <w:lang w:val="en-US"/>
        </w:rPr>
        <w:t xml:space="preserve">Fahmi, I. (2018). Analisis Kinerja Keuangan, Cetakan ke Empat. Bandung: Alfabeta. </w:t>
      </w:r>
    </w:p>
    <w:p w:rsidR="00716B7B" w:rsidRPr="00716B7B" w:rsidRDefault="00716B7B" w:rsidP="00716B7B">
      <w:pPr>
        <w:ind w:left="630" w:hanging="450"/>
        <w:jc w:val="both"/>
        <w:rPr>
          <w:color w:val="000000"/>
          <w:sz w:val="22"/>
          <w:szCs w:val="22"/>
          <w:lang w:val="en-US"/>
        </w:rPr>
      </w:pPr>
      <w:r w:rsidRPr="00716B7B">
        <w:rPr>
          <w:color w:val="000000"/>
          <w:sz w:val="22"/>
          <w:szCs w:val="22"/>
          <w:lang w:val="en-US"/>
        </w:rPr>
        <w:t>Hery. (2020). Analisis Laporan Keuangan Integrated and Comprehensive Edition. Jakarts: Grasindo.</w:t>
      </w:r>
    </w:p>
    <w:p w:rsidR="00716B7B" w:rsidRPr="00716B7B" w:rsidRDefault="00716B7B" w:rsidP="00716B7B">
      <w:pPr>
        <w:ind w:left="630" w:hanging="450"/>
        <w:jc w:val="both"/>
        <w:rPr>
          <w:color w:val="000000"/>
          <w:sz w:val="22"/>
          <w:szCs w:val="22"/>
          <w:lang w:val="en-US"/>
        </w:rPr>
      </w:pPr>
      <w:r w:rsidRPr="00716B7B">
        <w:rPr>
          <w:color w:val="000000"/>
          <w:sz w:val="22"/>
          <w:szCs w:val="22"/>
          <w:lang w:val="en-US"/>
        </w:rPr>
        <w:t xml:space="preserve">Hidayati, A. (2021). ANALISIS KINERJA KEUANGAN PADA PT. BLUE BIRD TBK. UG Journal, 14(11). </w:t>
      </w:r>
    </w:p>
    <w:p w:rsidR="00716B7B" w:rsidRPr="00716B7B" w:rsidRDefault="00716B7B" w:rsidP="00716B7B">
      <w:pPr>
        <w:ind w:left="630" w:hanging="450"/>
        <w:jc w:val="both"/>
        <w:rPr>
          <w:color w:val="000000"/>
          <w:sz w:val="22"/>
          <w:szCs w:val="22"/>
          <w:lang w:val="en-US"/>
        </w:rPr>
      </w:pPr>
      <w:r w:rsidRPr="00716B7B">
        <w:rPr>
          <w:color w:val="000000"/>
          <w:sz w:val="22"/>
          <w:szCs w:val="22"/>
          <w:lang w:val="en-US"/>
        </w:rPr>
        <w:t>Istanti, E., &amp; Negoro, R. B. K. (2021). Analisis Laporan Keuangan Dan Indikator Kebangkrutan Untuk Menilai Kinerja Keuangan Serta Kelangsungan Pada Pt Bayu Buana Tbk. Akuntansi'45: Jurnal Ilmiah Akuntansi, 2(2), 53-59</w:t>
      </w:r>
    </w:p>
    <w:p w:rsidR="00716B7B" w:rsidRPr="00716B7B" w:rsidRDefault="00716B7B" w:rsidP="00716B7B">
      <w:pPr>
        <w:ind w:left="630" w:hanging="450"/>
        <w:jc w:val="both"/>
        <w:rPr>
          <w:color w:val="000000"/>
          <w:sz w:val="22"/>
          <w:szCs w:val="22"/>
        </w:rPr>
      </w:pPr>
      <w:r w:rsidRPr="00716B7B">
        <w:rPr>
          <w:color w:val="000000"/>
          <w:sz w:val="22"/>
          <w:szCs w:val="22"/>
          <w:lang w:val="en-US"/>
        </w:rPr>
        <w:t xml:space="preserve">K.R. Subramanyam. (2017:162). Analisis Laporan Keuangan. Edisi kesebelas. </w:t>
      </w:r>
      <w:r w:rsidRPr="00716B7B">
        <w:rPr>
          <w:color w:val="000000"/>
          <w:sz w:val="22"/>
          <w:szCs w:val="22"/>
          <w:lang w:val="nb-NO"/>
        </w:rPr>
        <w:t>Jakarta: Salemba Empat.</w:t>
      </w:r>
      <w:r w:rsidRPr="00716B7B">
        <w:rPr>
          <w:color w:val="000000"/>
          <w:sz w:val="22"/>
          <w:szCs w:val="22"/>
        </w:rPr>
        <w:t xml:space="preserve"> </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Kasmir. (2018). Analisis Laporan Keuangan. Jakarta: PT Raja Grafindo Persada.</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 xml:space="preserve">Lumenta, M., Gamaliel, H., &amp; Latjandu, L. D. (2021). Analisis Perbandingan Kinerja Keuangan Perusahaan Transportasi Sebelum dan Saat Pandemi Covid-19. Jurnal EMBA: Jurnal Riset Ekonomi, Manajemen, Bisnis dan Akuntansi, 9(3). </w:t>
      </w:r>
    </w:p>
    <w:p w:rsidR="00716B7B" w:rsidRPr="00716B7B" w:rsidRDefault="00716B7B" w:rsidP="00716B7B">
      <w:pPr>
        <w:ind w:left="630" w:hanging="450"/>
        <w:jc w:val="both"/>
        <w:rPr>
          <w:color w:val="000000"/>
          <w:sz w:val="22"/>
          <w:szCs w:val="22"/>
          <w:lang w:val="en-US"/>
        </w:rPr>
      </w:pPr>
      <w:r w:rsidRPr="00716B7B">
        <w:rPr>
          <w:color w:val="000000"/>
          <w:sz w:val="22"/>
          <w:szCs w:val="22"/>
          <w:lang w:val="en-US"/>
        </w:rPr>
        <w:t>Munawir, S. 2016. Analisis Laporan Keuangan. Edisi Empat. Cetakan Ketujuhbelas. Liberty. Yogyakarta</w:t>
      </w:r>
    </w:p>
    <w:p w:rsidR="00716B7B" w:rsidRDefault="00716B7B" w:rsidP="00716B7B">
      <w:pPr>
        <w:ind w:left="630" w:hanging="450"/>
        <w:jc w:val="both"/>
        <w:rPr>
          <w:color w:val="000000"/>
          <w:sz w:val="22"/>
          <w:szCs w:val="22"/>
        </w:rPr>
      </w:pPr>
      <w:r w:rsidRPr="00716B7B">
        <w:rPr>
          <w:color w:val="000000"/>
          <w:sz w:val="22"/>
          <w:szCs w:val="22"/>
        </w:rPr>
        <w:t>Novianti, N., Wijaya, I. W. I., &amp; Febianingsih, A. F. A. (2022). The Effect Of Return On Asset (Roa) And Dividend Policy On The Value Of Manufacturing Companies. </w:t>
      </w:r>
      <w:r w:rsidRPr="00716B7B">
        <w:rPr>
          <w:i/>
          <w:iCs/>
          <w:color w:val="000000"/>
          <w:sz w:val="22"/>
          <w:szCs w:val="22"/>
        </w:rPr>
        <w:t>Journal of Social Science (JoSS)</w:t>
      </w:r>
      <w:r w:rsidRPr="00716B7B">
        <w:rPr>
          <w:color w:val="000000"/>
          <w:sz w:val="22"/>
          <w:szCs w:val="22"/>
        </w:rPr>
        <w:t>, </w:t>
      </w:r>
      <w:r w:rsidRPr="00716B7B">
        <w:rPr>
          <w:i/>
          <w:iCs/>
          <w:color w:val="000000"/>
          <w:sz w:val="22"/>
          <w:szCs w:val="22"/>
        </w:rPr>
        <w:t>1</w:t>
      </w:r>
      <w:r w:rsidRPr="00716B7B">
        <w:rPr>
          <w:color w:val="000000"/>
          <w:sz w:val="22"/>
          <w:szCs w:val="22"/>
        </w:rPr>
        <w:t>(2), 88-95.</w:t>
      </w:r>
    </w:p>
    <w:p w:rsidR="00716B7B" w:rsidRDefault="00D208F1" w:rsidP="00716B7B">
      <w:pPr>
        <w:ind w:left="630" w:hanging="450"/>
        <w:jc w:val="both"/>
        <w:rPr>
          <w:color w:val="000000"/>
          <w:sz w:val="22"/>
          <w:szCs w:val="22"/>
        </w:rPr>
      </w:pPr>
      <w:r w:rsidRPr="00D208F1">
        <w:rPr>
          <w:color w:val="000000"/>
          <w:sz w:val="22"/>
          <w:szCs w:val="22"/>
        </w:rPr>
        <w:t>Novianti, N., Wijaya, I., &amp; Febianingsih, A. (2023). THE EFFECT OF CORPORATE GOVERNANCE, LEVERAGE AND EXTERNAL AUDIT QUALITY ON PROFIT MANAGEMENT IN COMPANIES LISTED ON THE IDX IN 2018-2022. </w:t>
      </w:r>
      <w:r w:rsidRPr="00D208F1">
        <w:rPr>
          <w:i/>
          <w:iCs/>
          <w:color w:val="000000"/>
          <w:sz w:val="22"/>
          <w:szCs w:val="22"/>
        </w:rPr>
        <w:t>Interdisciplinary Journal of Advanced Research and Innovation</w:t>
      </w:r>
      <w:r w:rsidRPr="00D208F1">
        <w:rPr>
          <w:color w:val="000000"/>
          <w:sz w:val="22"/>
          <w:szCs w:val="22"/>
        </w:rPr>
        <w:t>, </w:t>
      </w:r>
      <w:r w:rsidRPr="00D208F1">
        <w:rPr>
          <w:i/>
          <w:iCs/>
          <w:color w:val="000000"/>
          <w:sz w:val="22"/>
          <w:szCs w:val="22"/>
        </w:rPr>
        <w:t>1</w:t>
      </w:r>
      <w:r w:rsidRPr="00D208F1">
        <w:rPr>
          <w:color w:val="000000"/>
          <w:sz w:val="22"/>
          <w:szCs w:val="22"/>
        </w:rPr>
        <w:t>(1), 36-43.</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Pandoyo &amp; Sofyan. (2018). Metodologi Penelitian Keuangan dan Bisnis. Bogor: In Media.</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Prihadi, Toto. 2020. Analisis Laporan Keuangan. 2nd ed. Jakarta: PT Gramedia Pustaka Utama.</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 xml:space="preserve">Sartono, R. Agus. (2010). Manajemen Keuangan Teori dan Aplikasi. Yogyakarta BPFE. </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 xml:space="preserve">Smith, J.M., dan J.D, Skousen. 1994. Intermediate Accounting. Edisi 8. Diterjemahkan oleh Nugroho Widjajanto. Erlangga, Jakarta. </w:t>
      </w:r>
    </w:p>
    <w:p w:rsidR="00716B7B" w:rsidRPr="00716B7B" w:rsidRDefault="00716B7B" w:rsidP="00716B7B">
      <w:pPr>
        <w:ind w:left="630" w:hanging="450"/>
        <w:jc w:val="both"/>
        <w:rPr>
          <w:color w:val="000000"/>
          <w:sz w:val="22"/>
          <w:szCs w:val="22"/>
          <w:lang w:val="nb-NO"/>
        </w:rPr>
      </w:pPr>
      <w:r w:rsidRPr="00716B7B">
        <w:rPr>
          <w:color w:val="000000"/>
          <w:sz w:val="22"/>
          <w:szCs w:val="22"/>
          <w:lang w:val="nb-NO"/>
        </w:rPr>
        <w:t>Sugiyono. (2016). Metode penelitian kuantitatif dan kualitatif dan r&amp;d. Bandung: Alfabeta.</w:t>
      </w:r>
    </w:p>
    <w:p w:rsidR="00254C69" w:rsidRDefault="00716B7B" w:rsidP="00716B7B">
      <w:pPr>
        <w:ind w:left="630" w:hanging="450"/>
        <w:jc w:val="both"/>
        <w:rPr>
          <w:color w:val="000000"/>
          <w:sz w:val="22"/>
          <w:szCs w:val="22"/>
        </w:rPr>
      </w:pPr>
      <w:r w:rsidRPr="00716B7B">
        <w:rPr>
          <w:color w:val="000000"/>
          <w:sz w:val="22"/>
          <w:szCs w:val="22"/>
          <w:lang w:val="nb-NO"/>
        </w:rPr>
        <w:t>Syamsuddin dan Damayanti. (2011). Metode penelitian pendidikan bahasa. Bandung: Remaja Rosdakarya</w:t>
      </w:r>
    </w:p>
    <w:p w:rsidR="00254C69" w:rsidRDefault="005F6436">
      <w:pPr>
        <w:tabs>
          <w:tab w:val="left" w:pos="1875"/>
        </w:tabs>
        <w:ind w:left="180"/>
        <w:rPr>
          <w:sz w:val="22"/>
          <w:szCs w:val="22"/>
        </w:rPr>
      </w:pPr>
      <w:r>
        <w:rPr>
          <w:sz w:val="22"/>
          <w:szCs w:val="22"/>
        </w:rPr>
        <w:tab/>
      </w:r>
      <w:r>
        <w:rPr>
          <w:sz w:val="22"/>
          <w:szCs w:val="22"/>
        </w:rPr>
        <w:tab/>
      </w:r>
    </w:p>
    <w:p w:rsidR="00254C69" w:rsidRDefault="00254C69">
      <w:pPr>
        <w:spacing w:line="276" w:lineRule="auto"/>
        <w:ind w:left="180"/>
      </w:pPr>
      <w:bookmarkStart w:id="4" w:name="_GoBack"/>
      <w:bookmarkEnd w:id="4"/>
    </w:p>
    <w:sectPr w:rsidR="00254C69">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436" w:rsidRDefault="005F6436">
      <w:r>
        <w:separator/>
      </w:r>
    </w:p>
  </w:endnote>
  <w:endnote w:type="continuationSeparator" w:id="0">
    <w:p w:rsidR="005F6436" w:rsidRDefault="005F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69" w:rsidRDefault="00254C6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69" w:rsidRDefault="00254C69">
    <w:pPr>
      <w:pBdr>
        <w:top w:val="nil"/>
        <w:left w:val="nil"/>
        <w:bottom w:val="nil"/>
        <w:right w:val="nil"/>
        <w:between w:val="nil"/>
      </w:pBdr>
      <w:tabs>
        <w:tab w:val="center" w:pos="4680"/>
        <w:tab w:val="right" w:pos="9360"/>
      </w:tabs>
      <w:jc w:val="right"/>
      <w:rPr>
        <w:b/>
        <w:color w:val="000000"/>
        <w:sz w:val="20"/>
        <w:szCs w:val="20"/>
      </w:rPr>
    </w:pPr>
  </w:p>
  <w:p w:rsidR="00254C69" w:rsidRDefault="005F6436">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JUDUL </w:t>
    </w:r>
    <w:r>
      <w:rPr>
        <w:color w:val="000000"/>
        <w:sz w:val="18"/>
        <w:szCs w:val="18"/>
      </w:rPr>
      <w:t xml:space="preserve">ARTIKEL DITULIS DENGAN HURUF KAPITAL TIMES NEW ROMAN 9 </w:t>
    </w:r>
  </w:p>
  <w:p w:rsidR="00254C69" w:rsidRDefault="005F6436">
    <w:pPr>
      <w:tabs>
        <w:tab w:val="center" w:pos="4680"/>
        <w:tab w:val="right" w:pos="9360"/>
      </w:tabs>
      <w:jc w:val="center"/>
      <w:rPr>
        <w:sz w:val="18"/>
        <w:szCs w:val="18"/>
      </w:rPr>
    </w:pPr>
    <w:r>
      <w:rPr>
        <w:sz w:val="18"/>
        <w:szCs w:val="18"/>
      </w:rPr>
      <w:t>(Nama Penulis 1, Nama Penulis 2, Nama Penulis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69" w:rsidRDefault="00254C69">
    <w:pPr>
      <w:pBdr>
        <w:top w:val="nil"/>
        <w:left w:val="nil"/>
        <w:bottom w:val="nil"/>
        <w:right w:val="nil"/>
        <w:between w:val="nil"/>
      </w:pBdr>
      <w:tabs>
        <w:tab w:val="center" w:pos="4680"/>
        <w:tab w:val="right" w:pos="9360"/>
      </w:tabs>
      <w:jc w:val="center"/>
      <w:rPr>
        <w:color w:val="000000"/>
        <w:sz w:val="20"/>
        <w:szCs w:val="20"/>
      </w:rPr>
    </w:pPr>
  </w:p>
  <w:p w:rsidR="00254C69" w:rsidRDefault="005F6436">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 xml:space="preserve">ISSN: </w:t>
    </w:r>
    <w:r>
      <w:rPr>
        <w:color w:val="000000"/>
        <w:sz w:val="20"/>
        <w:szCs w:val="20"/>
      </w:rPr>
      <w:t>1412 - 3681 (</w:t>
    </w:r>
    <w:r>
      <w:rPr>
        <w:sz w:val="20"/>
        <w:szCs w:val="20"/>
      </w:rPr>
      <w:t>cetak</w:t>
    </w:r>
    <w:r>
      <w:rPr>
        <w:color w:val="000000"/>
        <w:sz w:val="20"/>
        <w:szCs w:val="20"/>
      </w:rPr>
      <w:t xml:space="preserve">), ISSN: 2442 - 4617 (online), </w:t>
    </w:r>
  </w:p>
  <w:p w:rsidR="00254C69" w:rsidRDefault="005F6436">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https://journal.moestopo.ac.id/index.php/jmb</w:t>
    </w:r>
  </w:p>
  <w:p w:rsidR="00254C69" w:rsidRDefault="00254C69">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436" w:rsidRDefault="005F6436">
      <w:r>
        <w:separator/>
      </w:r>
    </w:p>
  </w:footnote>
  <w:footnote w:type="continuationSeparator" w:id="0">
    <w:p w:rsidR="005F6436" w:rsidRDefault="005F6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69" w:rsidRDefault="00254C6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69" w:rsidRDefault="005F643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6D3704">
      <w:rPr>
        <w:color w:val="000000"/>
      </w:rPr>
      <w:fldChar w:fldCharType="separate"/>
    </w:r>
    <w:r w:rsidR="006D3704">
      <w:rPr>
        <w:noProof/>
        <w:color w:val="000000"/>
      </w:rPr>
      <w:t>2</w:t>
    </w:r>
    <w:r>
      <w:rPr>
        <w:color w:val="000000"/>
      </w:rPr>
      <w:fldChar w:fldCharType="end"/>
    </w:r>
  </w:p>
  <w:p w:rsidR="00254C69" w:rsidRDefault="005F6436">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Bisnis dan Manajemen, </w:t>
    </w:r>
    <w:r>
      <w:rPr>
        <w:color w:val="000000"/>
        <w:sz w:val="20"/>
        <w:szCs w:val="20"/>
      </w:rPr>
      <w:t xml:space="preserve">Volume X, No. X, </w:t>
    </w:r>
    <w:r>
      <w:rPr>
        <w:sz w:val="20"/>
        <w:szCs w:val="20"/>
      </w:rPr>
      <w:t xml:space="preserve">Oktober </w:t>
    </w:r>
    <w:r>
      <w:rPr>
        <w:color w:val="000000"/>
        <w:sz w:val="20"/>
        <w:szCs w:val="20"/>
      </w:rPr>
      <w:t>20XX, p. X-XX</w:t>
    </w:r>
  </w:p>
  <w:p w:rsidR="00254C69" w:rsidRDefault="00254C69">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C69" w:rsidRDefault="005F643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6D3704">
      <w:rPr>
        <w:color w:val="000000"/>
      </w:rPr>
      <w:fldChar w:fldCharType="separate"/>
    </w:r>
    <w:r w:rsidR="006D3704">
      <w:rPr>
        <w:noProof/>
        <w:color w:val="000000"/>
      </w:rPr>
      <w:t>1</w:t>
    </w:r>
    <w:r>
      <w:rPr>
        <w:color w:val="000000"/>
      </w:rPr>
      <w:fldChar w:fldCharType="end"/>
    </w:r>
  </w:p>
  <w:p w:rsidR="00254C69" w:rsidRDefault="005F6436">
    <w:pPr>
      <w:pBdr>
        <w:top w:val="nil"/>
        <w:left w:val="nil"/>
        <w:bottom w:val="nil"/>
        <w:right w:val="nil"/>
        <w:between w:val="nil"/>
      </w:pBdr>
      <w:tabs>
        <w:tab w:val="center" w:pos="4680"/>
        <w:tab w:val="right" w:pos="9360"/>
      </w:tabs>
      <w:jc w:val="center"/>
      <w:rPr>
        <w:color w:val="000000"/>
      </w:rPr>
    </w:pPr>
    <w:r>
      <w:rPr>
        <w:b/>
        <w:color w:val="000000"/>
        <w:sz w:val="20"/>
        <w:szCs w:val="20"/>
      </w:rPr>
      <w:t xml:space="preserve">Jurnal </w:t>
    </w:r>
    <w:r>
      <w:rPr>
        <w:b/>
        <w:color w:val="000000"/>
        <w:sz w:val="20"/>
        <w:szCs w:val="20"/>
      </w:rPr>
      <w:t xml:space="preserve">Bisnis dan Manajemen, </w:t>
    </w:r>
    <w:r>
      <w:rPr>
        <w:color w:val="000000"/>
        <w:sz w:val="20"/>
        <w:szCs w:val="20"/>
      </w:rPr>
      <w:t xml:space="preserve">Volume X, No. X, </w:t>
    </w:r>
    <w:r>
      <w:rPr>
        <w:sz w:val="20"/>
        <w:szCs w:val="20"/>
      </w:rPr>
      <w:t xml:space="preserve">Oktober </w:t>
    </w:r>
    <w:r>
      <w:rPr>
        <w:color w:val="000000"/>
        <w:sz w:val="20"/>
        <w:szCs w:val="20"/>
      </w:rPr>
      <w:t>20XX, p. X-XX</w:t>
    </w:r>
  </w:p>
  <w:p w:rsidR="00254C69" w:rsidRDefault="00254C69">
    <w:pPr>
      <w:pBdr>
        <w:top w:val="nil"/>
        <w:left w:val="nil"/>
        <w:bottom w:val="nil"/>
        <w:right w:val="nil"/>
        <w:between w:val="nil"/>
      </w:pBdr>
      <w:tabs>
        <w:tab w:val="center" w:pos="4680"/>
        <w:tab w:val="right" w:pos="9360"/>
      </w:tabs>
      <w:jc w:val="right"/>
      <w:rPr>
        <w:color w:val="000000"/>
      </w:rPr>
    </w:pPr>
  </w:p>
  <w:p w:rsidR="00254C69" w:rsidRDefault="00254C6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69"/>
    <w:rsid w:val="00160B31"/>
    <w:rsid w:val="001B7F50"/>
    <w:rsid w:val="00254C69"/>
    <w:rsid w:val="005F6436"/>
    <w:rsid w:val="006D3704"/>
    <w:rsid w:val="00716B7B"/>
    <w:rsid w:val="00890428"/>
    <w:rsid w:val="00BE463F"/>
    <w:rsid w:val="00C33DC1"/>
    <w:rsid w:val="00D208F1"/>
    <w:rsid w:val="00D766C2"/>
    <w:rsid w:val="00F8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4B828E"/>
  <w15:docId w15:val="{8DBB855F-0574-4A4F-AA58-7A7F7B75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39"/>
    <w:rsid w:val="0071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538761">
      <w:bodyDiv w:val="1"/>
      <w:marLeft w:val="0"/>
      <w:marRight w:val="0"/>
      <w:marTop w:val="0"/>
      <w:marBottom w:val="0"/>
      <w:divBdr>
        <w:top w:val="none" w:sz="0" w:space="0" w:color="auto"/>
        <w:left w:val="none" w:sz="0" w:space="0" w:color="auto"/>
        <w:bottom w:val="none" w:sz="0" w:space="0" w:color="auto"/>
        <w:right w:val="none" w:sz="0" w:space="0" w:color="auto"/>
      </w:divBdr>
    </w:div>
    <w:div w:id="195174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Rasio</a:t>
            </a:r>
            <a:r>
              <a:rPr lang="en-US" baseline="0"/>
              <a:t> Lancar PT.Smartfren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Tahun</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Sheet1!$B$8:$B$12</c:f>
              <c:numCache>
                <c:formatCode>General</c:formatCode>
                <c:ptCount val="5"/>
                <c:pt idx="0">
                  <c:v>2018</c:v>
                </c:pt>
                <c:pt idx="1">
                  <c:v>2019</c:v>
                </c:pt>
                <c:pt idx="2">
                  <c:v>2020</c:v>
                </c:pt>
                <c:pt idx="3">
                  <c:v>2021</c:v>
                </c:pt>
                <c:pt idx="4">
                  <c:v>2022</c:v>
                </c:pt>
              </c:numCache>
            </c:numRef>
          </c:cat>
          <c:val>
            <c:numRef>
              <c:f>Sheet1!$E$8:$E$12</c:f>
              <c:numCache>
                <c:formatCode>0%</c:formatCode>
                <c:ptCount val="5"/>
                <c:pt idx="0">
                  <c:v>0.3251208376660521</c:v>
                </c:pt>
                <c:pt idx="1">
                  <c:v>0.28996986242993389</c:v>
                </c:pt>
                <c:pt idx="2">
                  <c:v>0.31436601882523724</c:v>
                </c:pt>
                <c:pt idx="3">
                  <c:v>0.24184545369725527</c:v>
                </c:pt>
                <c:pt idx="4">
                  <c:v>0.27309201698281843</c:v>
                </c:pt>
              </c:numCache>
            </c:numRef>
          </c:val>
          <c:smooth val="0"/>
          <c:extLst>
            <c:ext xmlns:c16="http://schemas.microsoft.com/office/drawing/2014/chart" uri="{C3380CC4-5D6E-409C-BE32-E72D297353CC}">
              <c16:uniqueId val="{00000000-6FBD-42F5-98AC-9E4201F0371A}"/>
            </c:ext>
          </c:extLst>
        </c:ser>
        <c:dLbls>
          <c:showLegendKey val="0"/>
          <c:showVal val="0"/>
          <c:showCatName val="0"/>
          <c:showSerName val="0"/>
          <c:showPercent val="0"/>
          <c:showBubbleSize val="0"/>
        </c:dLbls>
        <c:marker val="1"/>
        <c:smooth val="0"/>
        <c:axId val="1461249087"/>
        <c:axId val="1461252927"/>
      </c:lineChart>
      <c:catAx>
        <c:axId val="146124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252927"/>
        <c:crosses val="autoZero"/>
        <c:auto val="1"/>
        <c:lblAlgn val="ctr"/>
        <c:lblOffset val="100"/>
        <c:noMultiLvlLbl val="0"/>
      </c:catAx>
      <c:valAx>
        <c:axId val="1461252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24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ROE</a:t>
            </a:r>
          </a:p>
          <a:p>
            <a:pPr>
              <a:defRPr/>
            </a:pPr>
            <a:r>
              <a:rPr lang="en-US"/>
              <a:t>PT.Smartfren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Sheet1!$B$104:$B$108</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Sheet1!$B$20:$B$24</c:f>
              <c:numCache>
                <c:formatCode>General</c:formatCode>
                <c:ptCount val="5"/>
                <c:pt idx="0">
                  <c:v>2018</c:v>
                </c:pt>
                <c:pt idx="1">
                  <c:v>2019</c:v>
                </c:pt>
                <c:pt idx="2">
                  <c:v>2020</c:v>
                </c:pt>
                <c:pt idx="3">
                  <c:v>2021</c:v>
                </c:pt>
                <c:pt idx="4">
                  <c:v>2022</c:v>
                </c:pt>
              </c:numCache>
            </c:numRef>
          </c:cat>
          <c:val>
            <c:numRef>
              <c:f>Sheet1!$C$104:$C$108</c:f>
              <c:numCache>
                <c:formatCode>0.0</c:formatCode>
                <c:ptCount val="5"/>
                <c:pt idx="0">
                  <c:v>-28.5</c:v>
                </c:pt>
                <c:pt idx="1">
                  <c:v>-17.2</c:v>
                </c:pt>
                <c:pt idx="2">
                  <c:v>-12.3</c:v>
                </c:pt>
                <c:pt idx="3">
                  <c:v>-3.2</c:v>
                </c:pt>
                <c:pt idx="4">
                  <c:v>6.8</c:v>
                </c:pt>
              </c:numCache>
            </c:numRef>
          </c:val>
          <c:smooth val="0"/>
          <c:extLst>
            <c:ext xmlns:c16="http://schemas.microsoft.com/office/drawing/2014/chart" uri="{C3380CC4-5D6E-409C-BE32-E72D297353CC}">
              <c16:uniqueId val="{00000000-13DF-47F4-8F74-F33EB9FCDF10}"/>
            </c:ext>
          </c:extLst>
        </c:ser>
        <c:dLbls>
          <c:showLegendKey val="0"/>
          <c:showVal val="0"/>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At val="0"/>
        <c:auto val="1"/>
        <c:lblAlgn val="ctr"/>
        <c:lblOffset val="100"/>
        <c:noMultiLvlLbl val="0"/>
      </c:catAx>
      <c:valAx>
        <c:axId val="1465532943"/>
        <c:scaling>
          <c:orientation val="minMax"/>
          <c:max val="10"/>
          <c:min val="-3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Debt to Equity Ratio</a:t>
            </a:r>
          </a:p>
          <a:p>
            <a:pPr>
              <a:defRPr/>
            </a:pPr>
            <a:r>
              <a:rPr lang="en-US"/>
              <a:t>PT.Smartfren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Sheet1!$B$20:$B$24</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Sheet1!$B$20:$B$24</c:f>
              <c:numCache>
                <c:formatCode>General</c:formatCode>
                <c:ptCount val="5"/>
                <c:pt idx="0">
                  <c:v>2018</c:v>
                </c:pt>
                <c:pt idx="1">
                  <c:v>2019</c:v>
                </c:pt>
                <c:pt idx="2">
                  <c:v>2020</c:v>
                </c:pt>
                <c:pt idx="3">
                  <c:v>2021</c:v>
                </c:pt>
                <c:pt idx="4">
                  <c:v>2022</c:v>
                </c:pt>
              </c:numCache>
            </c:numRef>
          </c:cat>
          <c:val>
            <c:numRef>
              <c:f>Sheet1!$C$20:$C$24</c:f>
              <c:numCache>
                <c:formatCode>_(* #,##0_);_(* \(#,##0\);_(* "-"_);_(@_)</c:formatCode>
                <c:ptCount val="5"/>
                <c:pt idx="0">
                  <c:v>102.6</c:v>
                </c:pt>
                <c:pt idx="1">
                  <c:v>117.1</c:v>
                </c:pt>
                <c:pt idx="2">
                  <c:v>212.8</c:v>
                </c:pt>
                <c:pt idx="3">
                  <c:v>242.7</c:v>
                </c:pt>
                <c:pt idx="4">
                  <c:v>195</c:v>
                </c:pt>
              </c:numCache>
            </c:numRef>
          </c:val>
          <c:smooth val="0"/>
          <c:extLst>
            <c:ext xmlns:c16="http://schemas.microsoft.com/office/drawing/2014/chart" uri="{C3380CC4-5D6E-409C-BE32-E72D297353CC}">
              <c16:uniqueId val="{00000000-BD34-4277-AE30-FCE6EC4FBD8B}"/>
            </c:ext>
          </c:extLst>
        </c:ser>
        <c:dLbls>
          <c:dLblPos val="t"/>
          <c:showLegendKey val="0"/>
          <c:showVal val="1"/>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 val="autoZero"/>
        <c:auto val="1"/>
        <c:lblAlgn val="ctr"/>
        <c:lblOffset val="100"/>
        <c:noMultiLvlLbl val="0"/>
      </c:catAx>
      <c:valAx>
        <c:axId val="1465532943"/>
        <c:scaling>
          <c:orientation val="minMax"/>
          <c:max val="250"/>
          <c:min val="10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Debt to Asset Ratio</a:t>
            </a:r>
          </a:p>
          <a:p>
            <a:pPr>
              <a:defRPr/>
            </a:pPr>
            <a:r>
              <a:rPr lang="en-US"/>
              <a:t>PT.Smartfren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Sheet1!$B$33:$B$37</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Sheet1!$B$20:$B$24</c:f>
              <c:numCache>
                <c:formatCode>General</c:formatCode>
                <c:ptCount val="5"/>
                <c:pt idx="0">
                  <c:v>2018</c:v>
                </c:pt>
                <c:pt idx="1">
                  <c:v>2019</c:v>
                </c:pt>
                <c:pt idx="2">
                  <c:v>2020</c:v>
                </c:pt>
                <c:pt idx="3">
                  <c:v>2021</c:v>
                </c:pt>
                <c:pt idx="4">
                  <c:v>2022</c:v>
                </c:pt>
              </c:numCache>
            </c:numRef>
          </c:cat>
          <c:val>
            <c:numRef>
              <c:f>Sheet1!$C$33:$C$37</c:f>
              <c:numCache>
                <c:formatCode>General</c:formatCode>
                <c:ptCount val="5"/>
                <c:pt idx="0">
                  <c:v>50.6</c:v>
                </c:pt>
                <c:pt idx="1">
                  <c:v>53.9</c:v>
                </c:pt>
                <c:pt idx="2" formatCode="0.0">
                  <c:v>68</c:v>
                </c:pt>
                <c:pt idx="3">
                  <c:v>70.8</c:v>
                </c:pt>
                <c:pt idx="4">
                  <c:v>66.099999999999994</c:v>
                </c:pt>
              </c:numCache>
            </c:numRef>
          </c:val>
          <c:smooth val="0"/>
          <c:extLst>
            <c:ext xmlns:c16="http://schemas.microsoft.com/office/drawing/2014/chart" uri="{C3380CC4-5D6E-409C-BE32-E72D297353CC}">
              <c16:uniqueId val="{00000000-8ECA-4B1E-965D-C6E4CFD17CD3}"/>
            </c:ext>
          </c:extLst>
        </c:ser>
        <c:dLbls>
          <c:dLblPos val="t"/>
          <c:showLegendKey val="0"/>
          <c:showVal val="1"/>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 val="autoZero"/>
        <c:auto val="1"/>
        <c:lblAlgn val="ctr"/>
        <c:lblOffset val="100"/>
        <c:noMultiLvlLbl val="0"/>
      </c:catAx>
      <c:valAx>
        <c:axId val="1465532943"/>
        <c:scaling>
          <c:orientation val="minMax"/>
          <c:max val="75"/>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Long Term Debt to Equity</a:t>
            </a:r>
          </a:p>
          <a:p>
            <a:pPr>
              <a:defRPr/>
            </a:pPr>
            <a:r>
              <a:rPr lang="en-US" baseline="0"/>
              <a:t>PT.Smartfren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Sheet1!$B$122</c:f>
              <c:strCache>
                <c:ptCount val="1"/>
                <c:pt idx="0">
                  <c:v>Tahun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Sheet1!$B$8:$B$12</c:f>
              <c:numCache>
                <c:formatCode>General</c:formatCode>
                <c:ptCount val="5"/>
                <c:pt idx="0">
                  <c:v>2018</c:v>
                </c:pt>
                <c:pt idx="1">
                  <c:v>2019</c:v>
                </c:pt>
                <c:pt idx="2">
                  <c:v>2020</c:v>
                </c:pt>
                <c:pt idx="3">
                  <c:v>2021</c:v>
                </c:pt>
                <c:pt idx="4">
                  <c:v>2022</c:v>
                </c:pt>
              </c:numCache>
            </c:numRef>
          </c:cat>
          <c:val>
            <c:numRef>
              <c:f>Sheet1!$E$123:$E$127</c:f>
              <c:numCache>
                <c:formatCode>0%</c:formatCode>
                <c:ptCount val="5"/>
                <c:pt idx="0">
                  <c:v>1.8658419669784863</c:v>
                </c:pt>
                <c:pt idx="1">
                  <c:v>2.0317924237997338</c:v>
                </c:pt>
                <c:pt idx="2">
                  <c:v>2.9142936415953122</c:v>
                </c:pt>
                <c:pt idx="3">
                  <c:v>3.2430189350850149</c:v>
                </c:pt>
                <c:pt idx="4">
                  <c:v>2.8000676036161525</c:v>
                </c:pt>
              </c:numCache>
            </c:numRef>
          </c:val>
          <c:smooth val="0"/>
          <c:extLst>
            <c:ext xmlns:c16="http://schemas.microsoft.com/office/drawing/2014/chart" uri="{C3380CC4-5D6E-409C-BE32-E72D297353CC}">
              <c16:uniqueId val="{00000000-553F-46C2-8FC5-3AB55AA5EF3B}"/>
            </c:ext>
          </c:extLst>
        </c:ser>
        <c:dLbls>
          <c:dLblPos val="b"/>
          <c:showLegendKey val="0"/>
          <c:showVal val="1"/>
          <c:showCatName val="0"/>
          <c:showSerName val="0"/>
          <c:showPercent val="0"/>
          <c:showBubbleSize val="0"/>
        </c:dLbls>
        <c:marker val="1"/>
        <c:smooth val="0"/>
        <c:axId val="1461249087"/>
        <c:axId val="1461252927"/>
      </c:lineChart>
      <c:catAx>
        <c:axId val="146124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252927"/>
        <c:crosses val="autoZero"/>
        <c:auto val="1"/>
        <c:lblAlgn val="ctr"/>
        <c:lblOffset val="100"/>
        <c:noMultiLvlLbl val="0"/>
      </c:catAx>
      <c:valAx>
        <c:axId val="1461252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24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Long Term Debt to Total Capital</a:t>
            </a:r>
          </a:p>
          <a:p>
            <a:pPr>
              <a:defRPr/>
            </a:pPr>
            <a:r>
              <a:rPr lang="en-US" baseline="0"/>
              <a:t>PT.Smartfren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Sheet1!$B$136</c:f>
              <c:strCache>
                <c:ptCount val="1"/>
                <c:pt idx="0">
                  <c:v>Tahun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Sheet1!$B$8:$B$12</c:f>
              <c:numCache>
                <c:formatCode>General</c:formatCode>
                <c:ptCount val="5"/>
                <c:pt idx="0">
                  <c:v>2018</c:v>
                </c:pt>
                <c:pt idx="1">
                  <c:v>2019</c:v>
                </c:pt>
                <c:pt idx="2">
                  <c:v>2020</c:v>
                </c:pt>
                <c:pt idx="3">
                  <c:v>2021</c:v>
                </c:pt>
                <c:pt idx="4">
                  <c:v>2022</c:v>
                </c:pt>
              </c:numCache>
            </c:numRef>
          </c:cat>
          <c:val>
            <c:numRef>
              <c:f>Sheet1!$E$137:$E$141</c:f>
              <c:numCache>
                <c:formatCode>0.0%</c:formatCode>
                <c:ptCount val="5"/>
                <c:pt idx="0">
                  <c:v>0.26383472884370518</c:v>
                </c:pt>
                <c:pt idx="1">
                  <c:v>0.31807927838601757</c:v>
                </c:pt>
                <c:pt idx="2">
                  <c:v>0.46273036103868143</c:v>
                </c:pt>
                <c:pt idx="3">
                  <c:v>0.48667484665406613</c:v>
                </c:pt>
                <c:pt idx="4">
                  <c:v>0.47478731293676657</c:v>
                </c:pt>
              </c:numCache>
            </c:numRef>
          </c:val>
          <c:smooth val="0"/>
          <c:extLst>
            <c:ext xmlns:c16="http://schemas.microsoft.com/office/drawing/2014/chart" uri="{C3380CC4-5D6E-409C-BE32-E72D297353CC}">
              <c16:uniqueId val="{00000000-EBFD-43DA-B1C3-9DD5A36E4FE6}"/>
            </c:ext>
          </c:extLst>
        </c:ser>
        <c:dLbls>
          <c:dLblPos val="b"/>
          <c:showLegendKey val="0"/>
          <c:showVal val="1"/>
          <c:showCatName val="0"/>
          <c:showSerName val="0"/>
          <c:showPercent val="0"/>
          <c:showBubbleSize val="0"/>
        </c:dLbls>
        <c:marker val="1"/>
        <c:smooth val="0"/>
        <c:axId val="1461249087"/>
        <c:axId val="1461252927"/>
      </c:lineChart>
      <c:catAx>
        <c:axId val="146124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252927"/>
        <c:crosses val="autoZero"/>
        <c:auto val="1"/>
        <c:lblAlgn val="ctr"/>
        <c:lblOffset val="100"/>
        <c:noMultiLvlLbl val="0"/>
      </c:catAx>
      <c:valAx>
        <c:axId val="1461252927"/>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124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EBITDA</a:t>
            </a:r>
            <a:r>
              <a:rPr lang="en-US" baseline="0"/>
              <a:t> MARGIN</a:t>
            </a:r>
            <a:endParaRPr lang="en-US"/>
          </a:p>
          <a:p>
            <a:pPr>
              <a:defRPr/>
            </a:pPr>
            <a:r>
              <a:rPr lang="en-US"/>
              <a:t>PT.Smartfren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Sheet1!$B$48:$B$52</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Sheet1!$B$20:$B$24</c:f>
              <c:numCache>
                <c:formatCode>General</c:formatCode>
                <c:ptCount val="5"/>
                <c:pt idx="0">
                  <c:v>2018</c:v>
                </c:pt>
                <c:pt idx="1">
                  <c:v>2019</c:v>
                </c:pt>
                <c:pt idx="2">
                  <c:v>2020</c:v>
                </c:pt>
                <c:pt idx="3">
                  <c:v>2021</c:v>
                </c:pt>
                <c:pt idx="4">
                  <c:v>2022</c:v>
                </c:pt>
              </c:numCache>
            </c:numRef>
          </c:cat>
          <c:val>
            <c:numRef>
              <c:f>Sheet1!$C$48:$C$52</c:f>
              <c:numCache>
                <c:formatCode>0.0</c:formatCode>
                <c:ptCount val="5"/>
                <c:pt idx="0">
                  <c:v>17.8</c:v>
                </c:pt>
                <c:pt idx="1">
                  <c:v>19.8</c:v>
                </c:pt>
                <c:pt idx="2">
                  <c:v>32.4</c:v>
                </c:pt>
                <c:pt idx="3">
                  <c:v>39.200000000000003</c:v>
                </c:pt>
                <c:pt idx="4">
                  <c:v>44.9</c:v>
                </c:pt>
              </c:numCache>
            </c:numRef>
          </c:val>
          <c:smooth val="0"/>
          <c:extLst>
            <c:ext xmlns:c16="http://schemas.microsoft.com/office/drawing/2014/chart" uri="{C3380CC4-5D6E-409C-BE32-E72D297353CC}">
              <c16:uniqueId val="{00000000-2DEA-472D-B062-FEFF556B8B36}"/>
            </c:ext>
          </c:extLst>
        </c:ser>
        <c:dLbls>
          <c:dLblPos val="t"/>
          <c:showLegendKey val="0"/>
          <c:showVal val="1"/>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 val="autoZero"/>
        <c:auto val="1"/>
        <c:lblAlgn val="ctr"/>
        <c:lblOffset val="100"/>
        <c:noMultiLvlLbl val="0"/>
      </c:catAx>
      <c:valAx>
        <c:axId val="146553294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EBIT MARGIN</a:t>
            </a:r>
          </a:p>
          <a:p>
            <a:pPr algn="ctr">
              <a:defRPr/>
            </a:pPr>
            <a:r>
              <a:rPr lang="en-US"/>
              <a:t>PT.Smartfren (%)</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Sheet1!$B$60:$B$64</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Sheet1!$B$20:$B$24</c:f>
              <c:numCache>
                <c:formatCode>General</c:formatCode>
                <c:ptCount val="5"/>
                <c:pt idx="0">
                  <c:v>2018</c:v>
                </c:pt>
                <c:pt idx="1">
                  <c:v>2019</c:v>
                </c:pt>
                <c:pt idx="2">
                  <c:v>2020</c:v>
                </c:pt>
                <c:pt idx="3">
                  <c:v>2021</c:v>
                </c:pt>
                <c:pt idx="4">
                  <c:v>2022</c:v>
                </c:pt>
              </c:numCache>
            </c:numRef>
          </c:cat>
          <c:val>
            <c:numRef>
              <c:f>Sheet1!$C$60:$C$64</c:f>
              <c:numCache>
                <c:formatCode>General</c:formatCode>
                <c:ptCount val="5"/>
                <c:pt idx="0">
                  <c:v>-48.2</c:v>
                </c:pt>
                <c:pt idx="1">
                  <c:v>-32.9</c:v>
                </c:pt>
                <c:pt idx="2" formatCode="0.0">
                  <c:v>-8.3000000000000007</c:v>
                </c:pt>
                <c:pt idx="3">
                  <c:v>2.4</c:v>
                </c:pt>
                <c:pt idx="4">
                  <c:v>5.6</c:v>
                </c:pt>
              </c:numCache>
            </c:numRef>
          </c:val>
          <c:smooth val="0"/>
          <c:extLst>
            <c:ext xmlns:c16="http://schemas.microsoft.com/office/drawing/2014/chart" uri="{C3380CC4-5D6E-409C-BE32-E72D297353CC}">
              <c16:uniqueId val="{00000000-B541-4D78-89EF-2728661C98E4}"/>
            </c:ext>
          </c:extLst>
        </c:ser>
        <c:dLbls>
          <c:showLegendKey val="0"/>
          <c:showVal val="0"/>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 val="autoZero"/>
        <c:auto val="1"/>
        <c:lblAlgn val="ctr"/>
        <c:lblOffset val="100"/>
        <c:noMultiLvlLbl val="0"/>
      </c:catAx>
      <c:valAx>
        <c:axId val="146553294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majorUnit val="1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NET PROFIT MARGIN</a:t>
            </a:r>
          </a:p>
          <a:p>
            <a:pPr>
              <a:defRPr/>
            </a:pPr>
            <a:r>
              <a:rPr lang="en-US"/>
              <a:t>PT.Smartfren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Sheet1!$B$74:$B$78</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Sheet1!$B$20:$B$24</c:f>
              <c:numCache>
                <c:formatCode>General</c:formatCode>
                <c:ptCount val="5"/>
                <c:pt idx="0">
                  <c:v>2018</c:v>
                </c:pt>
                <c:pt idx="1">
                  <c:v>2019</c:v>
                </c:pt>
                <c:pt idx="2">
                  <c:v>2020</c:v>
                </c:pt>
                <c:pt idx="3">
                  <c:v>2021</c:v>
                </c:pt>
                <c:pt idx="4">
                  <c:v>2022</c:v>
                </c:pt>
              </c:numCache>
            </c:numRef>
          </c:cat>
          <c:val>
            <c:numRef>
              <c:f>Sheet1!$C$74:$C$78</c:f>
              <c:numCache>
                <c:formatCode>General</c:formatCode>
                <c:ptCount val="5"/>
                <c:pt idx="0">
                  <c:v>-64.7</c:v>
                </c:pt>
                <c:pt idx="1">
                  <c:v>-31.3</c:v>
                </c:pt>
                <c:pt idx="2" formatCode="0.0">
                  <c:v>-16.2</c:v>
                </c:pt>
                <c:pt idx="3">
                  <c:v>-4.2</c:v>
                </c:pt>
                <c:pt idx="4">
                  <c:v>9.5</c:v>
                </c:pt>
              </c:numCache>
            </c:numRef>
          </c:val>
          <c:smooth val="0"/>
          <c:extLst>
            <c:ext xmlns:c16="http://schemas.microsoft.com/office/drawing/2014/chart" uri="{C3380CC4-5D6E-409C-BE32-E72D297353CC}">
              <c16:uniqueId val="{00000000-FF13-47ED-A65F-67D7D8472D81}"/>
            </c:ext>
          </c:extLst>
        </c:ser>
        <c:dLbls>
          <c:showLegendKey val="0"/>
          <c:showVal val="0"/>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 val="autoZero"/>
        <c:auto val="1"/>
        <c:lblAlgn val="ctr"/>
        <c:lblOffset val="100"/>
        <c:noMultiLvlLbl val="0"/>
      </c:catAx>
      <c:valAx>
        <c:axId val="1465532943"/>
        <c:scaling>
          <c:orientation val="minMax"/>
          <c:max val="1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ROA</a:t>
            </a:r>
          </a:p>
          <a:p>
            <a:pPr>
              <a:defRPr/>
            </a:pPr>
            <a:r>
              <a:rPr lang="en-US"/>
              <a:t>PT.Smartfren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Sheet1!$B$89:$B$93</c:f>
              <c:strCache>
                <c:ptCount val="5"/>
                <c:pt idx="0">
                  <c:v>2018</c:v>
                </c:pt>
                <c:pt idx="1">
                  <c:v>2019</c:v>
                </c:pt>
                <c:pt idx="2">
                  <c:v>2020</c:v>
                </c:pt>
                <c:pt idx="3">
                  <c:v>2021</c:v>
                </c:pt>
                <c:pt idx="4">
                  <c:v>2022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Sheet1!$B$20:$B$24</c:f>
              <c:numCache>
                <c:formatCode>General</c:formatCode>
                <c:ptCount val="5"/>
                <c:pt idx="0">
                  <c:v>2018</c:v>
                </c:pt>
                <c:pt idx="1">
                  <c:v>2019</c:v>
                </c:pt>
                <c:pt idx="2">
                  <c:v>2020</c:v>
                </c:pt>
                <c:pt idx="3">
                  <c:v>2021</c:v>
                </c:pt>
                <c:pt idx="4">
                  <c:v>2022</c:v>
                </c:pt>
              </c:numCache>
            </c:numRef>
          </c:cat>
          <c:val>
            <c:numRef>
              <c:f>Sheet1!$C$89:$C$93</c:f>
              <c:numCache>
                <c:formatCode>0.0</c:formatCode>
                <c:ptCount val="5"/>
                <c:pt idx="0">
                  <c:v>-14.1</c:v>
                </c:pt>
                <c:pt idx="1">
                  <c:v>-7.9</c:v>
                </c:pt>
                <c:pt idx="2">
                  <c:v>-3.9</c:v>
                </c:pt>
                <c:pt idx="3">
                  <c:v>-1</c:v>
                </c:pt>
                <c:pt idx="4">
                  <c:v>2.2999999999999998</c:v>
                </c:pt>
              </c:numCache>
            </c:numRef>
          </c:val>
          <c:smooth val="0"/>
          <c:extLst>
            <c:ext xmlns:c16="http://schemas.microsoft.com/office/drawing/2014/chart" uri="{C3380CC4-5D6E-409C-BE32-E72D297353CC}">
              <c16:uniqueId val="{00000000-E477-4690-8E19-916F66075A64}"/>
            </c:ext>
          </c:extLst>
        </c:ser>
        <c:dLbls>
          <c:showLegendKey val="0"/>
          <c:showVal val="0"/>
          <c:showCatName val="0"/>
          <c:showSerName val="0"/>
          <c:showPercent val="0"/>
          <c:showBubbleSize val="0"/>
        </c:dLbls>
        <c:marker val="1"/>
        <c:smooth val="0"/>
        <c:axId val="1465532463"/>
        <c:axId val="1465532943"/>
      </c:lineChart>
      <c:catAx>
        <c:axId val="146553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943"/>
        <c:crosses val="autoZero"/>
        <c:auto val="1"/>
        <c:lblAlgn val="ctr"/>
        <c:lblOffset val="100"/>
        <c:noMultiLvlLbl val="0"/>
      </c:catAx>
      <c:valAx>
        <c:axId val="1465532943"/>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55324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tNcuPQeSvvTrCo/x1EdY+tgQ==">CgMxLjA4AHIhMTBWdlprZ2tnSE55bkxHa1NITzg3MkNOcHVOTldSOUZK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3199</Words>
  <Characters>20630</Characters>
  <Application>Microsoft Office Word</Application>
  <DocSecurity>0</DocSecurity>
  <Lines>387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Nunuk Novianti</dc:creator>
  <cp:lastModifiedBy>Nunuk Novianti</cp:lastModifiedBy>
  <cp:revision>4</cp:revision>
  <dcterms:created xsi:type="dcterms:W3CDTF">2024-04-19T03:42:00Z</dcterms:created>
  <dcterms:modified xsi:type="dcterms:W3CDTF">2024-04-19T06:10:00Z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2d08cee97e680c45cb01291e0eb4346c6f856fbfa7e2bbab5395563d3873a097</vt:lpwstr>
  </property>
</Properties>
</file>